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bidi w:val="false"/>
        <w:jc w:val="left"/>
      </w:pPr>
      <w:r>
        <w:rPr>
          <w:rFonts w:ascii="Noto Sans" w:cs="Noto Sans" w:eastAsia="Noto Sans" w:hAnsi="Noto Sans"/>
          <w:rtl w:val="false"/>
        </w:rPr>
        <w:t xml:space="preserve">Convivial for GovCMS — Ficha técnica</w:t>
      </w:r>
    </w:p>
    <w:p>
      <w:pPr>
        <w:bidi w:val="false"/>
        <w:spacing w:after="120" w:line="276"/>
        <w:jc w:val="left"/>
      </w:pPr>
      <w:r>
        <w:rPr>
          <w:rFonts w:ascii="Noto Sans" w:cs="Noto Sans" w:eastAsia="Noto Sans" w:hAnsi="Noto Sans"/>
          <w:b/>
          <w:bCs/>
          <w:rtl w:val="false"/>
        </w:rPr>
        <w:t xml:space="preserve">Fácil para editores. Preparado para la personalización. Creado para la administración pública australiana.</w:t>
      </w:r>
    </w:p>
    <w:p>
      <w:pPr>
        <w:bidi w:val="false"/>
        <w:spacing w:after="120" w:line="276"/>
        <w:jc w:val="left"/>
      </w:pPr>
      <w:r>
        <w:rPr>
          <w:rFonts w:ascii="Noto Sans" w:cs="Noto Sans" w:eastAsia="Noto Sans" w:hAnsi="Noto Sans"/>
          <w:rtl w:val="false"/>
        </w:rPr>
        <w:t xml:space="preserve">Convivial for GovCMS es un sitio de partida avanzado para GovCMS SaaS, desarrollado por Morpht. Amplía el tema GovCMS Starter estándar con un modelo de contenidos completo, una biblioteca de componentes, personalización visual sin código, búsqueda de nivel empresarial, personalización de contenidos y herramientas de IA, de modo que las agencias pueden lanzar rápidamente sitios accesibles y conformes a las mejores prácticas, destinando el presupuesto al propósito del sitio y no a su infraestructura.</w:t>
      </w:r>
    </w:p>
    <w:tbl>
      <w:tblPr>
        <w:bidiVisual w:val="false"/>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Producto</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Convivial for GovCMS (sitio de partida / tema)</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Plataforma</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GovCMS SaaS (Drupal 11)</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Front end</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Tailwind CSS + DaisyUI, Single Directory Components (SDC)</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Administración</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Tema de administración Gin, pantallas de edición e inicio de sesión mejoradas</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Proveedor</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Morpht — proveedor homologado en el GovCMS Drupal Services Panel</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Origen</w:t>
            </w:r>
          </w:p>
        </w:tc>
        <w:tc>
          <w:tcPr>
            <w:tcW w:type="dxa" w:w="6660"/>
            <w:tcMar>
              <w:top w:type="dxa" w:w="80"/>
              <w:left w:type="dxa" w:w="120"/>
              <w:bottom w:type="dxa" w:w="80"/>
              <w:right w:type="dxa" w:w="120"/>
            </w:tcMar>
          </w:tcPr>
          <w:p>
            <w:pPr>
              <w:bidi w:val="false"/>
              <w:spacing w:after="0"/>
              <w:jc w:val="left"/>
            </w:pPr>
            <w:r>
              <w:rPr>
                <w:rFonts w:ascii="Noto Sans" w:cs="Noto Sans" w:eastAsia="Noto Sans" w:hAnsi="Noto Sans"/>
                <w:rtl w:val="false"/>
              </w:rPr>
              <w:t xml:space="preserve">Comparte base con Convivial Gov, disponible en el Drupal Marketplace</w:t>
            </w:r>
          </w:p>
        </w:tc>
      </w:tr>
      <w:tr>
        <w:tc>
          <w:tcPr>
            <w:tcW w:type="dxa" w:w="2700"/>
            <w:shd w:fill="EAF0F7" w:color="auto" w:val="clear"/>
            <w:tcMar>
              <w:top w:type="dxa" w:w="80"/>
              <w:left w:type="dxa" w:w="120"/>
              <w:bottom w:type="dxa" w:w="80"/>
              <w:right w:type="dxa" w:w="120"/>
            </w:tcMar>
          </w:tcPr>
          <w:p>
            <w:pPr>
              <w:bidi w:val="false"/>
              <w:spacing w:after="0"/>
              <w:jc w:val="left"/>
            </w:pPr>
            <w:r>
              <w:rPr>
                <w:rFonts w:ascii="Noto Sans" w:cs="Noto Sans" w:eastAsia="Noto Sans" w:hAnsi="Noto Sans"/>
                <w:b/>
                <w:bCs/>
                <w:rtl w:val="false"/>
              </w:rPr>
              <w:t xml:space="preserve">Sitio web</w:t>
            </w:r>
          </w:p>
        </w:tc>
        <w:tc>
          <w:tcPr>
            <w:tcW w:type="dxa" w:w="6660"/>
            <w:tcMar>
              <w:top w:type="dxa" w:w="80"/>
              <w:left w:type="dxa" w:w="120"/>
              <w:bottom w:type="dxa" w:w="80"/>
              <w:right w:type="dxa" w:w="120"/>
            </w:tcMar>
          </w:tcPr>
          <w:p>
            <w:pPr>
              <w:bidi w:val="false"/>
              <w:spacing w:after="0"/>
              <w:jc w:val="left"/>
            </w:pPr>
            <w:hyperlink w:history="1" r:id="rIdmnt_8dyjge37p-9h806il">
              <w:r>
                <w:rPr>
                  <w:rStyle w:val="Hyperlink"/>
                  <w:rFonts w:ascii="Noto Sans" w:cs="Noto Sans" w:eastAsia="Noto Sans" w:hAnsi="Noto Sans"/>
                  <w:rtl w:val="false"/>
                </w:rPr>
                <w:t xml:space="preserve">https://govcms.convivial.io</w:t>
              </w:r>
            </w:hyperlink>
          </w:p>
        </w:tc>
      </w:tr>
    </w:tbl>
    <w:p>
      <w:pPr>
        <w:spacing w:after="120"/>
      </w:pP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Por qué Convivial</w:t>
      </w:r>
    </w:p>
    <w:p>
      <w:pPr>
        <w:bidi w:val="false"/>
        <w:spacing w:after="120" w:line="276"/>
        <w:jc w:val="left"/>
      </w:pPr>
      <w:r>
        <w:rPr>
          <w:rFonts w:ascii="Noto Sans" w:cs="Noto Sans" w:eastAsia="Noto Sans" w:hAnsi="Noto Sans"/>
          <w:rtl w:val="false"/>
        </w:rPr>
        <w:t xml:space="preserve">Un proyecto GovCMS típico implica encargar un tema, una biblioteca de componentes, un modelo de contenidos y una auditoría de accesibilidad antes de poder empezar con el contenido. Convivial incluye los cuatro ya construidos, con miles de horas de experiencia de Morpht incorporadas, para que el desarrollo se centre en lo que es único de cada sitio.</w:t>
      </w:r>
    </w:p>
    <w:p>
      <w:pPr>
        <w:pStyle w:val="ListParagraph"/>
        <w:numPr>
          <w:ilvl w:val="0"/>
          <w:numId w:val="2"/>
        </w:numPr>
        <w:bidi w:val="false"/>
        <w:spacing w:after="60" w:line="276"/>
        <w:jc w:val="left"/>
      </w:pPr>
      <w:r>
        <w:rPr>
          <w:rFonts w:ascii="Noto Sans" w:cs="Noto Sans" w:eastAsia="Noto Sans" w:hAnsi="Noto Sans"/>
          <w:b/>
          <w:bCs/>
          <w:rtl w:val="false"/>
        </w:rPr>
        <w:t xml:space="preserve">Lanzamiento rápido</w:t>
      </w:r>
      <w:r>
        <w:rPr>
          <w:rFonts w:ascii="Noto Sans" w:cs="Noto Sans" w:eastAsia="Noto Sans" w:hAnsi="Noto Sans"/>
          <w:rtl w:val="false"/>
        </w:rPr>
        <w:t xml:space="preserve"> — construcción de páginas sin código, una oferta de demostración «construya un sitio en un día» y páginas de campaña listas antes de la fecha límite.</w:t>
      </w:r>
    </w:p>
    <w:p>
      <w:pPr>
        <w:pStyle w:val="ListParagraph"/>
        <w:numPr>
          <w:ilvl w:val="0"/>
          <w:numId w:val="2"/>
        </w:numPr>
        <w:bidi w:val="false"/>
        <w:spacing w:after="60" w:line="276"/>
        <w:jc w:val="left"/>
      </w:pPr>
      <w:r>
        <w:rPr>
          <w:rFonts w:ascii="Noto Sans" w:cs="Noto Sans" w:eastAsia="Noto Sans" w:hAnsi="Noto Sans"/>
          <w:b/>
          <w:bCs/>
          <w:rtl w:val="false"/>
        </w:rPr>
        <w:t xml:space="preserve">Conforme por defecto</w:t>
      </w:r>
      <w:r>
        <w:rPr>
          <w:rFonts w:ascii="Noto Sans" w:cs="Noto Sans" w:eastAsia="Noto Sans" w:hAnsi="Noto Sans"/>
          <w:rtl w:val="false"/>
        </w:rPr>
        <w:t xml:space="preserve"> — cumplimiento de WCAG AA, accesibilidad por teclado y un objetivo de 100 en Lighthouse para accesibilidad y SEO en cada página.</w:t>
      </w:r>
    </w:p>
    <w:p>
      <w:pPr>
        <w:pStyle w:val="ListParagraph"/>
        <w:numPr>
          <w:ilvl w:val="0"/>
          <w:numId w:val="2"/>
        </w:numPr>
        <w:bidi w:val="false"/>
        <w:spacing w:after="60" w:line="276"/>
        <w:jc w:val="left"/>
      </w:pPr>
      <w:r>
        <w:rPr>
          <w:rFonts w:ascii="Noto Sans" w:cs="Noto Sans" w:eastAsia="Noto Sans" w:hAnsi="Noto Sans"/>
          <w:b/>
          <w:bCs/>
          <w:rtl w:val="false"/>
        </w:rPr>
        <w:t xml:space="preserve">Contratación sencilla</w:t>
      </w:r>
      <w:r>
        <w:rPr>
          <w:rFonts w:ascii="Noto Sans" w:cs="Noto Sans" w:eastAsia="Noto Sans" w:hAnsi="Noto Sans"/>
          <w:rtl w:val="false"/>
        </w:rPr>
        <w:t xml:space="preserve"> — contratación directa de Morpht a través del GovCMS Drupal Services Panel, sin licitación abierta.</w:t>
      </w:r>
    </w:p>
    <w:p>
      <w:pPr>
        <w:pStyle w:val="ListParagraph"/>
        <w:numPr>
          <w:ilvl w:val="0"/>
          <w:numId w:val="2"/>
        </w:numPr>
        <w:bidi w:val="false"/>
        <w:spacing w:after="60" w:line="276"/>
        <w:jc w:val="left"/>
      </w:pPr>
      <w:r>
        <w:rPr>
          <w:rFonts w:ascii="Noto Sans" w:cs="Noto Sans" w:eastAsia="Noto Sans" w:hAnsi="Noto Sans"/>
          <w:b/>
          <w:bCs/>
          <w:rtl w:val="false"/>
        </w:rPr>
        <w:t xml:space="preserve">Fácil de gobernar</w:t>
      </w:r>
      <w:r>
        <w:rPr>
          <w:rFonts w:ascii="Noto Sans" w:cs="Noto Sans" w:eastAsia="Noto Sans" w:hAnsi="Noto Sans"/>
          <w:rtl w:val="false"/>
        </w:rPr>
        <w:t xml:space="preserve"> — paneles editoriales, propiedad del contenido por unidad de negocio y revisiones programadas mantienen la precisión de los sitios grandes con el tiempo.</w:t>
      </w:r>
    </w:p>
    <w:p>
      <w:pPr>
        <w:pStyle w:val="ListParagraph"/>
        <w:numPr>
          <w:ilvl w:val="0"/>
          <w:numId w:val="2"/>
        </w:numPr>
        <w:bidi w:val="false"/>
        <w:spacing w:after="60" w:line="276"/>
        <w:jc w:val="left"/>
      </w:pPr>
      <w:r>
        <w:rPr>
          <w:rFonts w:ascii="Noto Sans" w:cs="Noto Sans" w:eastAsia="Noto Sans" w:hAnsi="Noto Sans"/>
          <w:b/>
          <w:bCs/>
          <w:rtl w:val="false"/>
        </w:rPr>
        <w:t xml:space="preserve">Personalización respetuosa con la privacidad</w:t>
      </w:r>
      <w:r>
        <w:rPr>
          <w:rFonts w:ascii="Noto Sans" w:cs="Noto Sans" w:eastAsia="Noto Sans" w:hAnsi="Noto Sans"/>
          <w:rtl w:val="false"/>
        </w:rPr>
        <w:t xml:space="preserve"> — el perfilado se ejecuta íntegramente en el navegador del visitante; no se recopilan datos personales, no hay rastreo de terceros y no es necesario adquirir una CDP ni una plataforma martech aparte.</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Capacidades principales</w:t>
      </w:r>
    </w:p>
    <w:p>
      <w:pPr>
        <w:pStyle w:val="Heading2"/>
        <w:bidi w:val="false"/>
        <w:jc w:val="left"/>
      </w:pPr>
      <w:r>
        <w:rPr>
          <w:rFonts w:ascii="Noto Sans" w:cs="Noto Sans" w:eastAsia="Noto Sans" w:hAnsi="Noto Sans"/>
          <w:rtl w:val="false"/>
        </w:rPr>
        <w:t xml:space="preserve">Accesibilidad e inclusión</w:t>
      </w:r>
    </w:p>
    <w:p>
      <w:pPr>
        <w:pStyle w:val="ListParagraph"/>
        <w:numPr>
          <w:ilvl w:val="0"/>
          <w:numId w:val="2"/>
        </w:numPr>
        <w:bidi w:val="false"/>
        <w:spacing w:after="60" w:line="276"/>
        <w:jc w:val="left"/>
      </w:pPr>
      <w:r>
        <w:rPr>
          <w:rFonts w:ascii="Noto Sans" w:cs="Noto Sans" w:eastAsia="Noto Sans" w:hAnsi="Noto Sans"/>
          <w:rtl w:val="false"/>
        </w:rPr>
        <w:t xml:space="preserve">Conformidad con WCAG 2.2 AA; objetivo de 100 en accesibilidad Lighthouse en cada página</w:t>
      </w:r>
    </w:p>
    <w:p>
      <w:pPr>
        <w:pStyle w:val="ListParagraph"/>
        <w:numPr>
          <w:ilvl w:val="0"/>
          <w:numId w:val="2"/>
        </w:numPr>
        <w:bidi w:val="false"/>
        <w:spacing w:after="60" w:line="276"/>
        <w:jc w:val="left"/>
      </w:pPr>
      <w:r>
        <w:rPr>
          <w:rFonts w:ascii="Noto Sans" w:cs="Noto Sans" w:eastAsia="Noto Sans" w:hAnsi="Noto Sans"/>
          <w:rtl w:val="false"/>
        </w:rPr>
        <w:t xml:space="preserve">Accesible por teclado, con enlaces «saltar al contenido» y «saltar la navegación» y un megamenú</w:t>
      </w:r>
    </w:p>
    <w:p>
      <w:pPr>
        <w:pStyle w:val="ListParagraph"/>
        <w:numPr>
          <w:ilvl w:val="0"/>
          <w:numId w:val="2"/>
        </w:numPr>
        <w:bidi w:val="false"/>
        <w:spacing w:after="60" w:line="276"/>
        <w:jc w:val="left"/>
      </w:pPr>
      <w:r>
        <w:rPr>
          <w:rFonts w:ascii="Noto Sans" w:cs="Noto Sans" w:eastAsia="Noto Sans" w:hAnsi="Noto Sans"/>
          <w:rtl w:val="false"/>
        </w:rPr>
        <w:t xml:space="preserve">Jerarquía de encabezados coherente y orden lógico del contenido</w:t>
      </w:r>
    </w:p>
    <w:p>
      <w:pPr>
        <w:pStyle w:val="ListParagraph"/>
        <w:numPr>
          <w:ilvl w:val="0"/>
          <w:numId w:val="2"/>
        </w:numPr>
        <w:bidi w:val="false"/>
        <w:spacing w:after="60" w:line="276"/>
        <w:jc w:val="left"/>
      </w:pPr>
      <w:r>
        <w:rPr>
          <w:rFonts w:ascii="Noto Sans" w:cs="Noto Sans" w:eastAsia="Noto Sans" w:hAnsi="Noto Sans"/>
          <w:rtl w:val="false"/>
        </w:rPr>
        <w:t xml:space="preserve">Transcripciones para vídeo, imagen y audio; tratamiento correcto de las imágenes decorativas</w:t>
      </w:r>
    </w:p>
    <w:p>
      <w:pPr>
        <w:pStyle w:val="ListParagraph"/>
        <w:numPr>
          <w:ilvl w:val="0"/>
          <w:numId w:val="2"/>
        </w:numPr>
        <w:bidi w:val="false"/>
        <w:spacing w:after="60" w:line="276"/>
        <w:jc w:val="left"/>
      </w:pPr>
      <w:r>
        <w:rPr>
          <w:rFonts w:ascii="Noto Sans" w:cs="Noto Sans" w:eastAsia="Noto Sans" w:hAnsi="Noto Sans"/>
          <w:rtl w:val="false"/>
        </w:rPr>
        <w:t xml:space="preserve">Tabla de contenidos dinámica fija para páginas largas; enlace «volver arriba»</w:t>
      </w:r>
    </w:p>
    <w:p>
      <w:pPr>
        <w:pStyle w:val="ListParagraph"/>
        <w:numPr>
          <w:ilvl w:val="0"/>
          <w:numId w:val="2"/>
        </w:numPr>
        <w:bidi w:val="false"/>
        <w:spacing w:after="60" w:line="276"/>
        <w:jc w:val="left"/>
      </w:pPr>
      <w:r>
        <w:rPr>
          <w:rFonts w:ascii="Noto Sans" w:cs="Noto Sans" w:eastAsia="Noto Sans" w:hAnsi="Noto Sans"/>
          <w:rtl w:val="false"/>
        </w:rPr>
        <w:t xml:space="preserve">Comprobador de contraste integrado al configurar paletas de colores</w:t>
      </w:r>
    </w:p>
    <w:p>
      <w:pPr>
        <w:pStyle w:val="ListParagraph"/>
        <w:numPr>
          <w:ilvl w:val="0"/>
          <w:numId w:val="2"/>
        </w:numPr>
        <w:bidi w:val="false"/>
        <w:spacing w:after="60" w:line="276"/>
        <w:jc w:val="left"/>
      </w:pPr>
      <w:r>
        <w:rPr>
          <w:rFonts w:ascii="Noto Sans" w:cs="Noto Sans" w:eastAsia="Noto Sans" w:hAnsi="Noto Sans"/>
          <w:rtl w:val="false"/>
        </w:rPr>
        <w:t xml:space="preserve">CSS de impresión y opción «Imprimir y escuchar» (ReadSpeaker) en cada página</w:t>
      </w:r>
    </w:p>
    <w:p>
      <w:pPr>
        <w:pStyle w:val="ListParagraph"/>
        <w:numPr>
          <w:ilvl w:val="0"/>
          <w:numId w:val="2"/>
        </w:numPr>
        <w:bidi w:val="false"/>
        <w:spacing w:after="60" w:line="276"/>
        <w:jc w:val="left"/>
      </w:pPr>
      <w:r>
        <w:rPr>
          <w:rFonts w:ascii="Noto Sans" w:cs="Noto Sans" w:eastAsia="Noto Sans" w:hAnsi="Noto Sans"/>
          <w:rtl w:val="false"/>
        </w:rPr>
        <w:t xml:space="preserve">Selector de modo oscuro, selector de idioma (Google Translate), compatibilidad con idiomas de derecha a izquierda y respeto de la preferencia de movimiento reducido</w:t>
      </w:r>
    </w:p>
    <w:p>
      <w:pPr>
        <w:pStyle w:val="Heading2"/>
        <w:bidi w:val="false"/>
        <w:jc w:val="left"/>
      </w:pPr>
      <w:r>
        <w:rPr>
          <w:rFonts w:ascii="Noto Sans" w:cs="Noto Sans" w:eastAsia="Noto Sans" w:hAnsi="Noto Sans"/>
          <w:rtl w:val="false"/>
        </w:rPr>
        <w:t xml:space="preserve">Diseño y temas (sin código)</w:t>
      </w:r>
    </w:p>
    <w:p>
      <w:pPr>
        <w:pStyle w:val="ListParagraph"/>
        <w:numPr>
          <w:ilvl w:val="0"/>
          <w:numId w:val="2"/>
        </w:numPr>
        <w:bidi w:val="false"/>
        <w:spacing w:after="60" w:line="276"/>
        <w:jc w:val="left"/>
      </w:pPr>
      <w:r>
        <w:rPr>
          <w:rFonts w:ascii="Noto Sans" w:cs="Noto Sans" w:eastAsia="Noto Sans" w:hAnsi="Noto Sans"/>
          <w:rtl w:val="false"/>
        </w:rPr>
        <w:t xml:space="preserve">Una interfaz de ajustes flexible controla las variables CSS de todo el sitio, eliminando en gran medida la necesidad de un maquetador</w:t>
      </w:r>
    </w:p>
    <w:p>
      <w:pPr>
        <w:pStyle w:val="ListParagraph"/>
        <w:numPr>
          <w:ilvl w:val="0"/>
          <w:numId w:val="2"/>
        </w:numPr>
        <w:bidi w:val="false"/>
        <w:spacing w:after="60" w:line="276"/>
        <w:jc w:val="left"/>
      </w:pPr>
      <w:r>
        <w:rPr>
          <w:rFonts w:ascii="Noto Sans" w:cs="Noto Sans" w:eastAsia="Noto Sans" w:hAnsi="Noto Sans"/>
          <w:rtl w:val="false"/>
        </w:rPr>
        <w:t xml:space="preserve">Paletas de colores, esquemas de color (claro/oscuro) y skins para campañas y secciones del sitio</w:t>
      </w:r>
    </w:p>
    <w:p>
      <w:pPr>
        <w:pStyle w:val="ListParagraph"/>
        <w:numPr>
          <w:ilvl w:val="0"/>
          <w:numId w:val="2"/>
        </w:numPr>
        <w:bidi w:val="false"/>
        <w:spacing w:after="60" w:line="276"/>
        <w:jc w:val="left"/>
      </w:pPr>
      <w:r>
        <w:rPr>
          <w:rFonts w:ascii="Noto Sans" w:cs="Noto Sans" w:eastAsia="Noto Sans" w:hAnsi="Noto Sans"/>
          <w:rtl w:val="false"/>
        </w:rPr>
        <w:t xml:space="preserve">Paletas predeterminadas por región, ajustes de esquinas y efectos, superposiciones y texturas de fondo</w:t>
      </w:r>
    </w:p>
    <w:p>
      <w:pPr>
        <w:pStyle w:val="ListParagraph"/>
        <w:numPr>
          <w:ilvl w:val="0"/>
          <w:numId w:val="2"/>
        </w:numPr>
        <w:bidi w:val="false"/>
        <w:spacing w:after="60" w:line="276"/>
        <w:jc w:val="left"/>
      </w:pPr>
      <w:r>
        <w:rPr>
          <w:rFonts w:ascii="Noto Sans" w:cs="Noto Sans" w:eastAsia="Noto Sans" w:hAnsi="Noto Sans"/>
          <w:rtl w:val="false"/>
        </w:rPr>
        <w:t xml:space="preserve">Menú principal simple, desplegable o megamenú; navegación lateral con ruta activa</w:t>
      </w:r>
    </w:p>
    <w:p>
      <w:pPr>
        <w:pStyle w:val="ListParagraph"/>
        <w:numPr>
          <w:ilvl w:val="0"/>
          <w:numId w:val="2"/>
        </w:numPr>
        <w:bidi w:val="false"/>
        <w:spacing w:after="60" w:line="276"/>
        <w:jc w:val="left"/>
      </w:pPr>
      <w:r>
        <w:rPr>
          <w:rFonts w:ascii="Noto Sans" w:cs="Noto Sans" w:eastAsia="Noto Sans" w:hAnsi="Noto Sans"/>
          <w:rtl w:val="false"/>
        </w:rPr>
        <w:t xml:space="preserve">Banner configurable con paletas, texturas, fondos, imágenes y máscaras de recorte</w:t>
      </w:r>
    </w:p>
    <w:p>
      <w:pPr>
        <w:pStyle w:val="ListParagraph"/>
        <w:numPr>
          <w:ilvl w:val="0"/>
          <w:numId w:val="2"/>
        </w:numPr>
        <w:bidi w:val="false"/>
        <w:spacing w:after="60" w:line="276"/>
        <w:jc w:val="left"/>
      </w:pPr>
      <w:r>
        <w:rPr>
          <w:rFonts w:ascii="Noto Sans" w:cs="Noto Sans" w:eastAsia="Noto Sans" w:hAnsi="Noto Sans"/>
          <w:rtl w:val="false"/>
        </w:rPr>
        <w:t xml:space="preserve">Componente de pie de página completo; favicons configurados mediante metaetiquetas sin tocar el tema</w:t>
      </w:r>
    </w:p>
    <w:p>
      <w:pPr>
        <w:pStyle w:val="ListParagraph"/>
        <w:numPr>
          <w:ilvl w:val="0"/>
          <w:numId w:val="2"/>
        </w:numPr>
        <w:bidi w:val="false"/>
        <w:spacing w:after="60" w:line="276"/>
        <w:jc w:val="left"/>
      </w:pPr>
      <w:r>
        <w:rPr>
          <w:rFonts w:ascii="Noto Sans" w:cs="Noto Sans" w:eastAsia="Noto Sans" w:hAnsi="Noto Sans"/>
          <w:rtl w:val="false"/>
        </w:rPr>
        <w:t xml:space="preserve">Iconos Phosphor a través de la API de iconos de Drupal 11</w:t>
      </w:r>
    </w:p>
    <w:p>
      <w:pPr>
        <w:pStyle w:val="ListParagraph"/>
        <w:numPr>
          <w:ilvl w:val="0"/>
          <w:numId w:val="2"/>
        </w:numPr>
        <w:bidi w:val="false"/>
        <w:spacing w:after="60" w:line="276"/>
        <w:jc w:val="left"/>
      </w:pPr>
      <w:r>
        <w:rPr>
          <w:rFonts w:ascii="Noto Sans" w:cs="Noto Sans" w:eastAsia="Noto Sans" w:hAnsi="Noto Sans"/>
          <w:rtl w:val="false"/>
        </w:rPr>
        <w:t xml:space="preserve">Elementos Form y Webform con estilos cuidados</w:t>
      </w:r>
    </w:p>
    <w:p>
      <w:pPr>
        <w:pStyle w:val="Heading2"/>
        <w:bidi w:val="false"/>
        <w:jc w:val="left"/>
      </w:pPr>
      <w:r>
        <w:rPr>
          <w:rFonts w:ascii="Noto Sans" w:cs="Noto Sans" w:eastAsia="Noto Sans" w:hAnsi="Noto Sans"/>
          <w:rtl w:val="false"/>
        </w:rPr>
        <w:t xml:space="preserve">Arquitectura de la información y modelo de contenidos</w:t>
      </w:r>
    </w:p>
    <w:p>
      <w:pPr>
        <w:bidi w:val="false"/>
        <w:spacing w:after="120" w:line="276"/>
        <w:jc w:val="left"/>
      </w:pPr>
      <w:r>
        <w:rPr>
          <w:rFonts w:ascii="Noto Sans" w:cs="Noto Sans" w:eastAsia="Noto Sans" w:hAnsi="Noto Sans"/>
          <w:b/>
          <w:bCs/>
          <w:rtl w:val="false"/>
        </w:rPr>
        <w:t xml:space="preserve">Tipos de contenido:</w:t>
      </w:r>
      <w:r>
        <w:rPr>
          <w:rFonts w:ascii="Noto Sans" w:cs="Noto Sans" w:eastAsia="Noto Sans" w:hAnsi="Noto Sans"/>
          <w:rtl w:val="false"/>
        </w:rPr>
        <w:t xml:space="preserve"> Page, Section (páginas de aterrizaje), Collection (listados), Article, Article Type, Resource, Event, Person, Topic, Audience, FOI Disclosure, Alert</w:t>
      </w:r>
    </w:p>
    <w:p>
      <w:pPr>
        <w:bidi w:val="false"/>
        <w:spacing w:after="120" w:line="276"/>
        <w:jc w:val="left"/>
      </w:pPr>
      <w:r>
        <w:rPr>
          <w:rFonts w:ascii="Noto Sans" w:cs="Noto Sans" w:eastAsia="Noto Sans" w:hAnsi="Noto Sans"/>
          <w:b/>
          <w:bCs/>
          <w:rtl w:val="false"/>
        </w:rPr>
        <w:t xml:space="preserve">Vocabularios:</w:t>
      </w:r>
      <w:r>
        <w:rPr>
          <w:rFonts w:ascii="Noto Sans" w:cs="Noto Sans" w:eastAsia="Noto Sans" w:hAnsi="Noto Sans"/>
          <w:rtl w:val="false"/>
        </w:rPr>
        <w:t xml:space="preserve"> Event Type, Resource Type, Promotion Type, Media Tags, Unit (propiedad por unidad de negocio) y Goal / Intent / Stage para enriquecer el perfil</w:t>
      </w:r>
    </w:p>
    <w:p>
      <w:pPr>
        <w:bidi w:val="false"/>
        <w:spacing w:after="120" w:line="276"/>
        <w:jc w:val="left"/>
      </w:pPr>
      <w:r>
        <w:rPr>
          <w:rFonts w:ascii="Noto Sans" w:cs="Noto Sans" w:eastAsia="Noto Sans" w:hAnsi="Noto Sans"/>
          <w:b/>
          <w:bCs/>
          <w:rtl w:val="false"/>
        </w:rPr>
        <w:t xml:space="preserve">Modos de visualización:</w:t>
      </w:r>
      <w:r>
        <w:rPr>
          <w:rFonts w:ascii="Noto Sans" w:cs="Noto Sans" w:eastAsia="Noto Sans" w:hAnsi="Noto Sans"/>
          <w:rtl w:val="false"/>
        </w:rPr>
        <w:t xml:space="preserve"> teaser pequeño, mediano y grande; tarjeta con imagen; tarjeta básica; resumen; búsqueda; título</w:t>
      </w:r>
    </w:p>
    <w:p>
      <w:pPr>
        <w:bidi w:val="false"/>
        <w:spacing w:after="120" w:line="276"/>
        <w:jc w:val="left"/>
      </w:pPr>
      <w:r>
        <w:rPr>
          <w:rFonts w:ascii="Noto Sans" w:cs="Noto Sans" w:eastAsia="Noto Sans" w:hAnsi="Noto Sans"/>
          <w:b/>
          <w:bCs/>
          <w:rtl w:val="false"/>
        </w:rPr>
        <w:t xml:space="preserve">Tipos de medios:</w:t>
      </w:r>
      <w:r>
        <w:rPr>
          <w:rFonts w:ascii="Noto Sans" w:cs="Noto Sans" w:eastAsia="Noto Sans" w:hAnsi="Noto Sans"/>
          <w:rtl w:val="false"/>
        </w:rPr>
        <w:t xml:space="preserve"> imagen, archivo, audio, vídeo, vídeo remoto (YouTube/Vimeo), modelo 3D (</w:t>
      </w:r>
      <w:r>
        <w:rPr>
          <w:rFonts w:ascii="Noto Sans" w:cs="Noto Sans" w:eastAsia="Noto Sans" w:hAnsi="Noto Sans"/>
          <w:rtl w:val="false"/>
        </w:rPr>
        <w:t xml:space="preserve">&lt;model-viewer&gt;</w:t>
      </w:r>
      <w:r>
        <w:rPr>
          <w:rFonts w:ascii="Noto Sans" w:cs="Noto Sans" w:eastAsia="Noto Sans" w:hAnsi="Noto Sans"/>
          <w:rtl w:val="false"/>
        </w:rPr>
        <w:t xml:space="preserve">), fuente (WOFF)</w:t>
      </w:r>
    </w:p>
    <w:p>
      <w:pPr>
        <w:pStyle w:val="Heading2"/>
        <w:bidi w:val="false"/>
        <w:jc w:val="left"/>
      </w:pPr>
      <w:r>
        <w:rPr>
          <w:rFonts w:ascii="Noto Sans" w:cs="Noto Sans" w:eastAsia="Noto Sans" w:hAnsi="Noto Sans"/>
          <w:rtl w:val="false"/>
        </w:rPr>
        <w:t xml:space="preserve">Componentes y construcción de páginas</w:t>
      </w:r>
    </w:p>
    <w:p>
      <w:pPr>
        <w:bidi w:val="false"/>
        <w:spacing w:after="120" w:line="276"/>
        <w:jc w:val="left"/>
      </w:pPr>
      <w:r>
        <w:rPr>
          <w:rFonts w:ascii="Noto Sans" w:cs="Noto Sans" w:eastAsia="Noto Sans" w:hAnsi="Noto Sans"/>
          <w:rtl w:val="false"/>
        </w:rPr>
        <w:t xml:space="preserve">Los editores componen las páginas a partir de una biblioteca de Single Directory Components con abundantes opciones por componente, sin necesidad de un desarrollador.</w:t>
      </w:r>
    </w:p>
    <w:p>
      <w:pPr>
        <w:pStyle w:val="ListParagraph"/>
        <w:numPr>
          <w:ilvl w:val="0"/>
          <w:numId w:val="2"/>
        </w:numPr>
        <w:bidi w:val="false"/>
        <w:spacing w:after="60" w:line="276"/>
        <w:jc w:val="left"/>
      </w:pPr>
      <w:r>
        <w:rPr>
          <w:rFonts w:ascii="Noto Sans" w:cs="Noto Sans" w:eastAsia="Noto Sans" w:hAnsi="Noto Sans"/>
          <w:b/>
          <w:bCs/>
          <w:rtl w:val="false"/>
        </w:rPr>
        <w:t xml:space="preserve">Diseño y estructura:</w:t>
      </w:r>
      <w:r>
        <w:rPr>
          <w:rFonts w:ascii="Noto Sans" w:cs="Noto Sans" w:eastAsia="Noto Sans" w:hAnsi="Noto Sans"/>
          <w:rtl w:val="false"/>
        </w:rPr>
        <w:t xml:space="preserve"> Section, Content, Content Tabs, Accordion / Accordion Group, Slider, Item List, Node List, Media List</w:t>
      </w:r>
    </w:p>
    <w:p>
      <w:pPr>
        <w:pStyle w:val="ListParagraph"/>
        <w:numPr>
          <w:ilvl w:val="0"/>
          <w:numId w:val="2"/>
        </w:numPr>
        <w:bidi w:val="false"/>
        <w:spacing w:after="60" w:line="276"/>
        <w:jc w:val="left"/>
      </w:pPr>
      <w:r>
        <w:rPr>
          <w:rFonts w:ascii="Noto Sans" w:cs="Noto Sans" w:eastAsia="Noto Sans" w:hAnsi="Noto Sans"/>
          <w:b/>
          <w:bCs/>
          <w:rtl w:val="false"/>
        </w:rPr>
        <w:t xml:space="preserve">Tarjetas y elementos:</w:t>
      </w:r>
      <w:r>
        <w:rPr>
          <w:rFonts w:ascii="Noto Sans" w:cs="Noto Sans" w:eastAsia="Noto Sans" w:hAnsi="Noto Sans"/>
          <w:rtl w:val="false"/>
        </w:rPr>
        <w:t xml:space="preserve"> Card, Item, Stat / Stats (animados), Timeline / Timeline Item</w:t>
      </w:r>
    </w:p>
    <w:p>
      <w:pPr>
        <w:pStyle w:val="ListParagraph"/>
        <w:numPr>
          <w:ilvl w:val="0"/>
          <w:numId w:val="2"/>
        </w:numPr>
        <w:bidi w:val="false"/>
        <w:spacing w:after="60" w:line="276"/>
        <w:jc w:val="left"/>
      </w:pPr>
      <w:r>
        <w:rPr>
          <w:rFonts w:ascii="Noto Sans" w:cs="Noto Sans" w:eastAsia="Noto Sans" w:hAnsi="Noto Sans"/>
          <w:b/>
          <w:bCs/>
          <w:rtl w:val="false"/>
        </w:rPr>
        <w:t xml:space="preserve">Datos y visualización:</w:t>
      </w:r>
      <w:r>
        <w:rPr>
          <w:rFonts w:ascii="Noto Sans" w:cs="Noto Sans" w:eastAsia="Noto Sans" w:hAnsi="Noto Sans"/>
          <w:rtl w:val="false"/>
        </w:rPr>
        <w:t xml:space="preserve"> Charts (desde CSV), Datatable (CSV con búsqueda y ordenación), GeoChart, Map (GeoJSON sobre Leaflet), Decision Flow</w:t>
      </w:r>
    </w:p>
    <w:p>
      <w:pPr>
        <w:pStyle w:val="ListParagraph"/>
        <w:numPr>
          <w:ilvl w:val="0"/>
          <w:numId w:val="2"/>
        </w:numPr>
        <w:bidi w:val="false"/>
        <w:spacing w:after="60" w:line="276"/>
        <w:jc w:val="left"/>
      </w:pPr>
      <w:r>
        <w:rPr>
          <w:rFonts w:ascii="Noto Sans" w:cs="Noto Sans" w:eastAsia="Noto Sans" w:hAnsi="Noto Sans"/>
          <w:b/>
          <w:bCs/>
          <w:rtl w:val="false"/>
        </w:rPr>
        <w:t xml:space="preserve">Medios:</w:t>
      </w:r>
      <w:r>
        <w:rPr>
          <w:rFonts w:ascii="Noto Sans" w:cs="Noto Sans" w:eastAsia="Noto Sans" w:hAnsi="Noto Sans"/>
          <w:rtl w:val="false"/>
        </w:rPr>
        <w:t xml:space="preserve"> Gallery, Lightbox, Diff (comparación de imágenes), Animation (según el desplazamiento), iFrame</w:t>
      </w:r>
    </w:p>
    <w:p>
      <w:pPr>
        <w:pStyle w:val="ListParagraph"/>
        <w:numPr>
          <w:ilvl w:val="0"/>
          <w:numId w:val="2"/>
        </w:numPr>
        <w:bidi w:val="false"/>
        <w:spacing w:after="60" w:line="276"/>
        <w:jc w:val="left"/>
      </w:pPr>
      <w:r>
        <w:rPr>
          <w:rFonts w:ascii="Noto Sans" w:cs="Noto Sans" w:eastAsia="Noto Sans" w:hAnsi="Noto Sans"/>
          <w:b/>
          <w:bCs/>
          <w:rtl w:val="false"/>
        </w:rPr>
        <w:t xml:space="preserve">Incrustaciones:</w:t>
      </w:r>
      <w:r>
        <w:rPr>
          <w:rFonts w:ascii="Noto Sans" w:cs="Noto Sans" w:eastAsia="Noto Sans" w:hAnsi="Noto Sans"/>
          <w:rtl w:val="false"/>
        </w:rPr>
        <w:t xml:space="preserve"> Embedded Block, Custom Block, View, Webform; Snippet (JavaScript)</w:t>
      </w:r>
    </w:p>
    <w:p>
      <w:pPr>
        <w:pStyle w:val="ListParagraph"/>
        <w:numPr>
          <w:ilvl w:val="0"/>
          <w:numId w:val="2"/>
        </w:numPr>
        <w:bidi w:val="false"/>
        <w:spacing w:after="60" w:line="276"/>
        <w:jc w:val="left"/>
      </w:pPr>
      <w:r>
        <w:rPr>
          <w:rFonts w:ascii="Noto Sans" w:cs="Noto Sans" w:eastAsia="Noto Sans" w:hAnsi="Noto Sans"/>
          <w:b/>
          <w:bCs/>
          <w:rtl w:val="false"/>
        </w:rPr>
        <w:t xml:space="preserve">Personalización e IA:</w:t>
      </w:r>
      <w:r>
        <w:rPr>
          <w:rFonts w:ascii="Noto Sans" w:cs="Noto Sans" w:eastAsia="Noto Sans" w:hAnsi="Noto Sans"/>
          <w:rtl w:val="false"/>
        </w:rPr>
        <w:t xml:space="preserve"> Personified Content, Personified Data, Parameter, Recombee Scenario, Recombee Search, Search Prompt</w:t>
      </w:r>
    </w:p>
    <w:p>
      <w:pPr>
        <w:bidi w:val="false"/>
        <w:spacing w:after="120" w:line="276"/>
        <w:jc w:val="left"/>
      </w:pPr>
      <w:r>
        <w:rPr>
          <w:rFonts w:ascii="Noto Sans" w:cs="Noto Sans" w:eastAsia="Noto Sans" w:hAnsi="Noto Sans"/>
          <w:b/>
          <w:bCs/>
          <w:rtl w:val="false"/>
        </w:rPr>
        <w:t xml:space="preserve">Bloques:</w:t>
      </w:r>
      <w:r>
        <w:rPr>
          <w:rFonts w:ascii="Noto Sans" w:cs="Noto Sans" w:eastAsia="Noto Sans" w:hAnsi="Noto Sans"/>
          <w:rtl w:val="false"/>
        </w:rPr>
        <w:t xml:space="preserve"> contenedor Components, Content, Disclaimer (modal), Logo, Modal, Personified Data, Promotion, Quick Exit, ReadSpeaker, Search, Social Share, Translate</w:t>
      </w:r>
    </w:p>
    <w:p>
      <w:pPr>
        <w:bidi w:val="false"/>
        <w:spacing w:after="120" w:line="276"/>
        <w:jc w:val="left"/>
      </w:pPr>
      <w:r>
        <w:rPr>
          <w:rFonts w:ascii="Noto Sans" w:cs="Noto Sans" w:eastAsia="Noto Sans" w:hAnsi="Noto Sans"/>
          <w:b/>
          <w:bCs/>
          <w:rtl w:val="false"/>
        </w:rPr>
        <w:t xml:space="preserve">Modificadores:</w:t>
      </w:r>
      <w:r>
        <w:rPr>
          <w:rFonts w:ascii="Noto Sans" w:cs="Noto Sans" w:eastAsia="Noto Sans" w:hAnsi="Noto Sans"/>
          <w:rtl w:val="false"/>
        </w:rPr>
        <w:t xml:space="preserve"> altura adaptable, visibilidad por audiencia, color de fondo, cambio de paleta al desplazarse, degradados lineales y radiales, ocultar, imagen de fondo, relleno, fondo parallax, revelado al desplazarse, vídeo de fondo</w:t>
      </w:r>
    </w:p>
    <w:p>
      <w:pPr>
        <w:bidi w:val="false"/>
        <w:spacing w:after="120" w:line="276"/>
        <w:jc w:val="left"/>
      </w:pPr>
      <w:r>
        <w:rPr>
          <w:rFonts w:ascii="Noto Sans" w:cs="Noto Sans" w:eastAsia="Noto Sans" w:hAnsi="Noto Sans"/>
          <w:b/>
          <w:bCs/>
          <w:rtl w:val="false"/>
        </w:rPr>
        <w:t xml:space="preserve">WYSIWYG:</w:t>
      </w:r>
      <w:r>
        <w:rPr>
          <w:rFonts w:ascii="Noto Sans" w:cs="Noto Sans" w:eastAsia="Noto Sans" w:hAnsi="Noto Sans"/>
          <w:rtl w:val="false"/>
        </w:rPr>
        <w:t xml:space="preserve"> clases utilitarias estándar, incrustación de medios responsivos con anchos, posiciones y pies de foto, y botones de prompt que convierten listas en lanzadores de chat contextual (AI Edition)</w:t>
      </w:r>
    </w:p>
    <w:p>
      <w:pPr>
        <w:pStyle w:val="Heading2"/>
        <w:bidi w:val="false"/>
        <w:jc w:val="left"/>
      </w:pPr>
      <w:r>
        <w:rPr>
          <w:rFonts w:ascii="Noto Sans" w:cs="Noto Sans" w:eastAsia="Noto Sans" w:hAnsi="Noto Sans"/>
          <w:rtl w:val="false"/>
        </w:rPr>
        <w:t xml:space="preserve">Gobernanza editorial</w:t>
      </w:r>
    </w:p>
    <w:p>
      <w:pPr>
        <w:pStyle w:val="ListParagraph"/>
        <w:numPr>
          <w:ilvl w:val="0"/>
          <w:numId w:val="2"/>
        </w:numPr>
        <w:bidi w:val="false"/>
        <w:spacing w:after="60" w:line="276"/>
        <w:jc w:val="left"/>
      </w:pPr>
      <w:r>
        <w:rPr>
          <w:rFonts w:ascii="Noto Sans" w:cs="Noto Sans" w:eastAsia="Noto Sans" w:hAnsi="Noto Sans"/>
          <w:rtl w:val="false"/>
        </w:rPr>
        <w:t xml:space="preserve">Los listados administrativos «Requiere revisión», «Falta descripción» y «Falta texto alternativo» señalan exactamente qué necesita atención</w:t>
      </w:r>
    </w:p>
    <w:p>
      <w:pPr>
        <w:pStyle w:val="ListParagraph"/>
        <w:numPr>
          <w:ilvl w:val="0"/>
          <w:numId w:val="2"/>
        </w:numPr>
        <w:bidi w:val="false"/>
        <w:spacing w:after="60" w:line="276"/>
        <w:jc w:val="left"/>
      </w:pPr>
      <w:r>
        <w:rPr>
          <w:rFonts w:ascii="Noto Sans" w:cs="Noto Sans" w:eastAsia="Noto Sans" w:hAnsi="Noto Sans"/>
          <w:rtl w:val="false"/>
        </w:rPr>
        <w:t xml:space="preserve">Fechas de revisión en el contenido; fechas de publicación y actualización para metadatos, ordenación y refuerzo de búsqueda</w:t>
      </w:r>
    </w:p>
    <w:p>
      <w:pPr>
        <w:pStyle w:val="ListParagraph"/>
        <w:numPr>
          <w:ilvl w:val="0"/>
          <w:numId w:val="2"/>
        </w:numPr>
        <w:bidi w:val="false"/>
        <w:spacing w:after="60" w:line="276"/>
        <w:jc w:val="left"/>
      </w:pPr>
      <w:r>
        <w:rPr>
          <w:rFonts w:ascii="Noto Sans" w:cs="Noto Sans" w:eastAsia="Noto Sans" w:hAnsi="Noto Sans"/>
          <w:rtl w:val="false"/>
        </w:rPr>
        <w:t xml:space="preserve">La propiedad por unidad de negocio agrupa el contenido para que los editores responsables encuentren lo que hay que actualizar</w:t>
      </w:r>
    </w:p>
    <w:p>
      <w:pPr>
        <w:pStyle w:val="ListParagraph"/>
        <w:numPr>
          <w:ilvl w:val="0"/>
          <w:numId w:val="2"/>
        </w:numPr>
        <w:bidi w:val="false"/>
        <w:spacing w:after="60" w:line="276"/>
        <w:jc w:val="left"/>
      </w:pPr>
      <w:r>
        <w:rPr>
          <w:rFonts w:ascii="Noto Sans" w:cs="Noto Sans" w:eastAsia="Noto Sans" w:hAnsi="Noto Sans"/>
          <w:rtl w:val="false"/>
        </w:rPr>
        <w:t xml:space="preserve">Importación masiva de redirecciones; página de usuario personalizada con enlaces editoriales</w:t>
      </w:r>
    </w:p>
    <w:p>
      <w:pPr>
        <w:pStyle w:val="ListParagraph"/>
        <w:numPr>
          <w:ilvl w:val="0"/>
          <w:numId w:val="2"/>
        </w:numPr>
        <w:bidi w:val="false"/>
        <w:spacing w:after="60" w:line="276"/>
        <w:jc w:val="left"/>
      </w:pPr>
      <w:r>
        <w:rPr>
          <w:rFonts w:ascii="Noto Sans" w:cs="Noto Sans" w:eastAsia="Noto Sans" w:hAnsi="Noto Sans"/>
          <w:rtl w:val="false"/>
        </w:rPr>
        <w:t xml:space="preserve">Formulario de comentarios integrado en cada página; región estandarizada de contenido relacionado</w:t>
      </w:r>
    </w:p>
    <w:p>
      <w:pPr>
        <w:pStyle w:val="Heading2"/>
        <w:bidi w:val="false"/>
        <w:jc w:val="left"/>
      </w:pPr>
      <w:r>
        <w:rPr>
          <w:rFonts w:ascii="Noto Sans" w:cs="Noto Sans" w:eastAsia="Noto Sans" w:hAnsi="Noto Sans"/>
          <w:rtl w:val="false"/>
        </w:rPr>
        <w:t xml:space="preserve">Búsqueda, SEO y GEO</w:t>
      </w:r>
    </w:p>
    <w:p>
      <w:pPr>
        <w:pStyle w:val="ListParagraph"/>
        <w:numPr>
          <w:ilvl w:val="0"/>
          <w:numId w:val="2"/>
        </w:numPr>
        <w:bidi w:val="false"/>
        <w:spacing w:after="60" w:line="276"/>
        <w:jc w:val="left"/>
      </w:pPr>
      <w:r>
        <w:rPr>
          <w:rFonts w:ascii="Noto Sans" w:cs="Noto Sans" w:eastAsia="Noto Sans" w:hAnsi="Noto Sans"/>
          <w:rtl w:val="false"/>
        </w:rPr>
        <w:t xml:space="preserve">Búsqueda de texto completo con Apache Solr, con facetas (tipo, tema, audiencia, fecha), autocompletado e indexación de archivos binarios</w:t>
      </w:r>
    </w:p>
    <w:p>
      <w:pPr>
        <w:pStyle w:val="ListParagraph"/>
        <w:numPr>
          <w:ilvl w:val="0"/>
          <w:numId w:val="2"/>
        </w:numPr>
        <w:bidi w:val="false"/>
        <w:spacing w:after="60" w:line="276"/>
        <w:jc w:val="left"/>
      </w:pPr>
      <w:r>
        <w:rPr>
          <w:rFonts w:ascii="Noto Sans" w:cs="Noto Sans" w:eastAsia="Noto Sans" w:hAnsi="Noto Sans"/>
          <w:rtl w:val="false"/>
        </w:rPr>
        <w:t xml:space="preserve">Refuerzo por fecha y tipo de contenido para destacar el contenido más relevante y reciente</w:t>
      </w:r>
    </w:p>
    <w:p>
      <w:pPr>
        <w:pStyle w:val="ListParagraph"/>
        <w:numPr>
          <w:ilvl w:val="0"/>
          <w:numId w:val="2"/>
        </w:numPr>
        <w:bidi w:val="false"/>
        <w:spacing w:after="60" w:line="276"/>
        <w:jc w:val="left"/>
      </w:pPr>
      <w:r>
        <w:rPr>
          <w:rFonts w:ascii="Noto Sans" w:cs="Noto Sans" w:eastAsia="Noto Sans" w:hAnsi="Noto Sans"/>
          <w:rtl w:val="false"/>
        </w:rPr>
        <w:t xml:space="preserve">Metadatos estándar y avanzados rellenados automáticamente para buscadores y bots de IA; mapa del sitio XML activado por defecto</w:t>
      </w:r>
    </w:p>
    <w:p>
      <w:pPr>
        <w:pStyle w:val="ListParagraph"/>
        <w:numPr>
          <w:ilvl w:val="0"/>
          <w:numId w:val="2"/>
        </w:numPr>
        <w:bidi w:val="false"/>
        <w:spacing w:after="60" w:line="276"/>
        <w:jc w:val="left"/>
      </w:pPr>
      <w:r>
        <w:rPr>
          <w:rFonts w:ascii="Noto Sans" w:cs="Noto Sans" w:eastAsia="Noto Sans" w:hAnsi="Noto Sans"/>
          <w:rtl w:val="false"/>
        </w:rPr>
        <w:t xml:space="preserve">JSON-LD de Schema.org para propiedades y relaciones, además del esquema FAQ Page para acordeones: contenido estructurado tanto para buscadores como para motores de respuesta con IA</w:t>
      </w:r>
    </w:p>
    <w:p>
      <w:pPr>
        <w:pStyle w:val="ListParagraph"/>
        <w:numPr>
          <w:ilvl w:val="0"/>
          <w:numId w:val="2"/>
        </w:numPr>
        <w:bidi w:val="false"/>
        <w:spacing w:after="60" w:line="276"/>
        <w:jc w:val="left"/>
      </w:pPr>
      <w:r>
        <w:rPr>
          <w:rFonts w:ascii="Noto Sans" w:cs="Noto Sans" w:eastAsia="Noto Sans" w:hAnsi="Noto Sans"/>
          <w:rtl w:val="false"/>
        </w:rPr>
        <w:t xml:space="preserve">Objetivo de 100 en SEO Lighthouse en cada página</w:t>
      </w:r>
    </w:p>
    <w:p>
      <w:pPr>
        <w:pStyle w:val="Heading2"/>
        <w:bidi w:val="false"/>
        <w:jc w:val="left"/>
      </w:pPr>
      <w:r>
        <w:rPr>
          <w:rFonts w:ascii="Noto Sans" w:cs="Noto Sans" w:eastAsia="Noto Sans" w:hAnsi="Noto Sans"/>
          <w:rtl w:val="false"/>
        </w:rPr>
        <w:t xml:space="preserve">Personalización y recomendaciones (DXP)</w:t>
      </w:r>
    </w:p>
    <w:p>
      <w:pPr>
        <w:pStyle w:val="ListParagraph"/>
        <w:numPr>
          <w:ilvl w:val="0"/>
          <w:numId w:val="2"/>
        </w:numPr>
        <w:bidi w:val="false"/>
        <w:spacing w:after="60" w:line="276"/>
        <w:jc w:val="left"/>
      </w:pPr>
      <w:r>
        <w:rPr>
          <w:rFonts w:ascii="Noto Sans" w:cs="Noto Sans" w:eastAsia="Noto Sans" w:hAnsi="Noto Sans"/>
          <w:b/>
          <w:bCs/>
          <w:rtl w:val="false"/>
        </w:rPr>
        <w:t xml:space="preserve">Convivial Profiler</w:t>
      </w:r>
      <w:r>
        <w:rPr>
          <w:rFonts w:ascii="Noto Sans" w:cs="Noto Sans" w:eastAsia="Noto Sans" w:hAnsi="Noto Sans"/>
          <w:rtl w:val="false"/>
        </w:rPr>
        <w:t xml:space="preserve"> — un motor de personalización ligero del lado del cliente que construye un perfil de comportamiento a partir de páginas vistas, temas, tipo de audiencia, objetivos, intención y etapa, y lo utiliza para impulsar promociones, recomendaciones y contenido filtrado</w:t>
      </w:r>
    </w:p>
    <w:p>
      <w:pPr>
        <w:pStyle w:val="ListParagraph"/>
        <w:numPr>
          <w:ilvl w:val="0"/>
          <w:numId w:val="2"/>
        </w:numPr>
        <w:bidi w:val="false"/>
        <w:spacing w:after="60" w:line="276"/>
        <w:jc w:val="left"/>
      </w:pPr>
      <w:r>
        <w:rPr>
          <w:rFonts w:ascii="Noto Sans" w:cs="Noto Sans" w:eastAsia="Noto Sans" w:hAnsi="Noto Sans"/>
          <w:b/>
          <w:bCs/>
          <w:rtl w:val="false"/>
        </w:rPr>
        <w:t xml:space="preserve">Filtro de audiencia</w:t>
      </w:r>
      <w:r>
        <w:rPr>
          <w:rFonts w:ascii="Noto Sans" w:cs="Noto Sans" w:eastAsia="Noto Sans" w:hAnsi="Noto Sans"/>
          <w:rtl w:val="false"/>
        </w:rPr>
        <w:t xml:space="preserve"> — una simple lista desplegable permite a los visitantes elegir su audiencia; los editores asignan audiencias al contenido y dirigen bloques promocionales sin ayuda de un desarrollador</w:t>
      </w:r>
    </w:p>
    <w:p>
      <w:pPr>
        <w:pStyle w:val="ListParagraph"/>
        <w:numPr>
          <w:ilvl w:val="0"/>
          <w:numId w:val="2"/>
        </w:numPr>
        <w:bidi w:val="false"/>
        <w:spacing w:after="60" w:line="276"/>
        <w:jc w:val="left"/>
      </w:pPr>
      <w:r>
        <w:rPr>
          <w:rFonts w:ascii="Noto Sans" w:cs="Noto Sans" w:eastAsia="Noto Sans" w:hAnsi="Noto Sans"/>
          <w:b/>
          <w:bCs/>
          <w:rtl w:val="false"/>
        </w:rPr>
        <w:t xml:space="preserve">Recombee</w:t>
      </w:r>
      <w:r>
        <w:rPr>
          <w:rFonts w:ascii="Noto Sans" w:cs="Noto Sans" w:eastAsia="Noto Sans" w:hAnsi="Noto Sans"/>
          <w:rtl w:val="false"/>
        </w:rPr>
        <w:t xml:space="preserve"> — integración opcional de Recommender-as-a-Service que aplica filtrado colaborativo para mostrar contenido relacionado, popular y en tendencia en secciones definidas del sitio</w:t>
      </w:r>
    </w:p>
    <w:p>
      <w:pPr>
        <w:pStyle w:val="ListParagraph"/>
        <w:numPr>
          <w:ilvl w:val="0"/>
          <w:numId w:val="2"/>
        </w:numPr>
        <w:bidi w:val="false"/>
        <w:spacing w:after="60" w:line="276"/>
        <w:jc w:val="left"/>
      </w:pPr>
      <w:r>
        <w:rPr>
          <w:rFonts w:ascii="Noto Sans" w:cs="Noto Sans" w:eastAsia="Noto Sans" w:hAnsi="Noto Sans"/>
          <w:rtl w:val="false"/>
        </w:rPr>
        <w:t xml:space="preserve">Las páginas de campaña y los micrositios usan el mismo perfilado para adaptar el contenido a cada visitante, con una identidad visual propia mediante skins y paletas</w:t>
      </w:r>
    </w:p>
    <w:p>
      <w:pPr>
        <w:pStyle w:val="Heading2"/>
        <w:bidi w:val="false"/>
        <w:jc w:val="left"/>
      </w:pPr>
      <w:r>
        <w:rPr>
          <w:rFonts w:ascii="Noto Sans" w:cs="Noto Sans" w:eastAsia="Noto Sans" w:hAnsi="Noto Sans"/>
          <w:rtl w:val="false"/>
        </w:rPr>
        <w:t xml:space="preserve">Potenciación con IA (AI Edition — beta)</w:t>
      </w:r>
    </w:p>
    <w:p>
      <w:pPr>
        <w:pStyle w:val="ListParagraph"/>
        <w:numPr>
          <w:ilvl w:val="0"/>
          <w:numId w:val="2"/>
        </w:numPr>
        <w:bidi w:val="false"/>
        <w:spacing w:after="60" w:line="276"/>
        <w:jc w:val="left"/>
      </w:pPr>
      <w:r>
        <w:rPr>
          <w:rFonts w:ascii="Noto Sans" w:cs="Noto Sans" w:eastAsia="Noto Sans" w:hAnsi="Noto Sans"/>
          <w:rtl w:val="false"/>
        </w:rPr>
        <w:t xml:space="preserve">Compatibilidad con los backends y funciones estándar de Drupal AI</w:t>
      </w:r>
    </w:p>
    <w:p>
      <w:pPr>
        <w:pStyle w:val="ListParagraph"/>
        <w:numPr>
          <w:ilvl w:val="0"/>
          <w:numId w:val="2"/>
        </w:numPr>
        <w:bidi w:val="false"/>
        <w:spacing w:after="60" w:line="276"/>
        <w:jc w:val="left"/>
      </w:pPr>
      <w:r>
        <w:rPr>
          <w:rFonts w:ascii="Noto Sans" w:cs="Noto Sans" w:eastAsia="Noto Sans" w:hAnsi="Noto Sans"/>
          <w:rtl w:val="false"/>
        </w:rPr>
        <w:t xml:space="preserve">Herramientas </w:t>
      </w:r>
      <w:r>
        <w:rPr>
          <w:rFonts w:ascii="Noto Sans" w:cs="Noto Sans" w:eastAsia="Noto Sans" w:hAnsi="Noto Sans"/>
          <w:b/>
          <w:bCs/>
          <w:rtl w:val="false"/>
        </w:rPr>
        <w:t xml:space="preserve">Augmentor</w:t>
      </w:r>
      <w:r>
        <w:rPr>
          <w:rFonts w:ascii="Noto Sans" w:cs="Noto Sans" w:eastAsia="Noto Sans" w:hAnsi="Noto Sans"/>
          <w:rtl w:val="false"/>
        </w:rPr>
        <w:t xml:space="preserve"> en el formulario de edición: redactar artículos, generar resúmenes, introducciones y encabezados, extraer palabras clave y generar texto alternativo para imágenes (se conecta a servicios como ChatGPT, NLP Cloud y Google Cloud Vision)</w:t>
      </w:r>
    </w:p>
    <w:p>
      <w:pPr>
        <w:pStyle w:val="ListParagraph"/>
        <w:numPr>
          <w:ilvl w:val="0"/>
          <w:numId w:val="2"/>
        </w:numPr>
        <w:bidi w:val="false"/>
        <w:spacing w:after="60" w:line="276"/>
        <w:jc w:val="left"/>
      </w:pPr>
      <w:r>
        <w:rPr>
          <w:rFonts w:ascii="Noto Sans" w:cs="Noto Sans" w:eastAsia="Noto Sans" w:hAnsi="Noto Sans"/>
          <w:b/>
          <w:bCs/>
          <w:rtl w:val="false"/>
        </w:rPr>
        <w:t xml:space="preserve">Búsqueda semántica</w:t>
      </w:r>
      <w:r>
        <w:rPr>
          <w:rFonts w:ascii="Noto Sans" w:cs="Noto Sans" w:eastAsia="Noto Sans" w:hAnsi="Noto Sans"/>
          <w:rtl w:val="false"/>
        </w:rPr>
        <w:t xml:space="preserve"> — búsqueda conversacional basada en RAG con una interfaz de chat integrada en el tema, votación positiva/negativa, preguntas de seguimiento y botones de prompt contextuales dentro del contenido</w:t>
      </w:r>
    </w:p>
    <w:p>
      <w:pPr>
        <w:pStyle w:val="ListParagraph"/>
        <w:numPr>
          <w:ilvl w:val="0"/>
          <w:numId w:val="2"/>
        </w:numPr>
        <w:bidi w:val="false"/>
        <w:spacing w:after="60" w:line="276"/>
        <w:jc w:val="left"/>
      </w:pPr>
      <w:r>
        <w:rPr>
          <w:rFonts w:ascii="Noto Sans" w:cs="Noto Sans" w:eastAsia="Noto Sans" w:hAnsi="Noto Sans"/>
          <w:rtl w:val="false"/>
        </w:rPr>
        <w:t xml:space="preserve">El módulo </w:t>
      </w:r>
      <w:r>
        <w:rPr>
          <w:rFonts w:ascii="Noto Sans" w:cs="Noto Sans" w:eastAsia="Noto Sans" w:hAnsi="Noto Sans"/>
          <w:b/>
          <w:bCs/>
          <w:rtl w:val="false"/>
        </w:rPr>
        <w:t xml:space="preserve">Guardrails</w:t>
      </w:r>
      <w:r>
        <w:rPr>
          <w:rFonts w:ascii="Noto Sans" w:cs="Noto Sans" w:eastAsia="Noto Sans" w:hAnsi="Noto Sans"/>
          <w:rtl w:val="false"/>
        </w:rPr>
        <w:t xml:space="preserve"> impide que la información personal y sensible se comparta con el LLM</w:t>
      </w:r>
    </w:p>
    <w:p>
      <w:pPr>
        <w:pStyle w:val="Heading2"/>
        <w:bidi w:val="false"/>
        <w:jc w:val="left"/>
      </w:pPr>
      <w:r>
        <w:rPr>
          <w:rFonts w:ascii="Noto Sans" w:cs="Noto Sans" w:eastAsia="Noto Sans" w:hAnsi="Noto Sans"/>
          <w:rtl w:val="false"/>
        </w:rPr>
        <w:t xml:space="preserve">Rendimiento</w:t>
      </w:r>
    </w:p>
    <w:p>
      <w:pPr>
        <w:pStyle w:val="ListParagraph"/>
        <w:numPr>
          <w:ilvl w:val="0"/>
          <w:numId w:val="2"/>
        </w:numPr>
        <w:bidi w:val="false"/>
        <w:spacing w:after="60" w:line="276"/>
        <w:jc w:val="left"/>
      </w:pPr>
      <w:r>
        <w:rPr>
          <w:rFonts w:ascii="Noto Sans" w:cs="Noto Sans" w:eastAsia="Noto Sans" w:hAnsi="Noto Sans"/>
          <w:rtl w:val="false"/>
        </w:rPr>
        <w:t xml:space="preserve">Imágenes responsivas servidas en la resolución correcta para cada dispositivo</w:t>
      </w:r>
    </w:p>
    <w:p>
      <w:pPr>
        <w:pStyle w:val="ListParagraph"/>
        <w:numPr>
          <w:ilvl w:val="0"/>
          <w:numId w:val="2"/>
        </w:numPr>
        <w:bidi w:val="false"/>
        <w:spacing w:after="60" w:line="276"/>
        <w:jc w:val="left"/>
      </w:pPr>
      <w:r>
        <w:rPr>
          <w:rFonts w:ascii="Noto Sans" w:cs="Noto Sans" w:eastAsia="Noto Sans" w:hAnsi="Noto Sans"/>
          <w:rtl w:val="false"/>
        </w:rPr>
        <w:t xml:space="preserve">Caché de páginas estándar de Drupal con invalidación por etiquetas</w:t>
      </w:r>
    </w:p>
    <w:p>
      <w:pPr>
        <w:pStyle w:val="ListParagraph"/>
        <w:numPr>
          <w:ilvl w:val="0"/>
          <w:numId w:val="2"/>
        </w:numPr>
        <w:bidi w:val="false"/>
        <w:spacing w:after="60" w:line="276"/>
        <w:jc w:val="left"/>
      </w:pPr>
      <w:r>
        <w:rPr>
          <w:rFonts w:ascii="Noto Sans" w:cs="Noto Sans" w:eastAsia="Noto Sans" w:hAnsi="Noto Sans"/>
          <w:rtl w:val="false"/>
        </w:rPr>
        <w:t xml:space="preserve">Carga optimizada de bibliotecas y recursos</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Para quién está pensado</w:t>
      </w:r>
    </w:p>
    <w:p>
      <w:pPr>
        <w:bidi w:val="false"/>
        <w:spacing w:after="120" w:line="276"/>
        <w:jc w:val="left"/>
      </w:pPr>
      <w:r>
        <w:rPr>
          <w:rFonts w:ascii="Noto Sans" w:cs="Noto Sans" w:eastAsia="Noto Sans" w:hAnsi="Noto Sans"/>
          <w:b/>
          <w:bCs/>
          <w:rtl w:val="false"/>
        </w:rPr>
        <w:t xml:space="preserve">Editores</w:t>
      </w:r>
      <w:r>
        <w:rPr>
          <w:rFonts w:ascii="Noto Sans" w:cs="Noto Sans" w:eastAsia="Noto Sans" w:hAnsi="Noto Sans"/>
          <w:rtl w:val="false"/>
        </w:rPr>
        <w:t xml:space="preserve"> — Construyen páginas, redactan contenido y gestionan la accesibilidad sin desarrollador ni auditorías manuales de texto alternativo: tipos de contenido, componentes y modos de visualización predefinidos, herramientas de redacción con IA y paneles editoriales.</w:t>
      </w:r>
    </w:p>
    <w:p>
      <w:pPr>
        <w:bidi w:val="false"/>
        <w:spacing w:after="120" w:line="276"/>
        <w:jc w:val="left"/>
      </w:pPr>
      <w:r>
        <w:rPr>
          <w:rFonts w:ascii="Noto Sans" w:cs="Noto Sans" w:eastAsia="Noto Sans" w:hAnsi="Noto Sans"/>
          <w:b/>
          <w:bCs/>
          <w:rtl w:val="false"/>
        </w:rPr>
        <w:t xml:space="preserve">Responsables de marketing</w:t>
      </w:r>
      <w:r>
        <w:rPr>
          <w:rFonts w:ascii="Noto Sans" w:cs="Noto Sans" w:eastAsia="Noto Sans" w:hAnsi="Noto Sans"/>
          <w:rtl w:val="false"/>
        </w:rPr>
        <w:t xml:space="preserve"> — Personalizan, lanzan campañas y miden sin esperar a los desarrolladores: páginas de campaña sin código, personalización automática mediante Convivial Profiler y contenido creado para ser encontrado por buscadores y motores de respuesta con IA.</w:t>
      </w:r>
    </w:p>
    <w:p>
      <w:pPr>
        <w:bidi w:val="false"/>
        <w:spacing w:after="120" w:line="276"/>
        <w:jc w:val="left"/>
      </w:pPr>
      <w:r>
        <w:rPr>
          <w:rFonts w:ascii="Noto Sans" w:cs="Noto Sans" w:eastAsia="Noto Sans" w:hAnsi="Noto Sans"/>
          <w:b/>
          <w:bCs/>
          <w:rtl w:val="false"/>
        </w:rPr>
        <w:t xml:space="preserve">Propietarios del sitio</w:t>
      </w:r>
      <w:r>
        <w:rPr>
          <w:rFonts w:ascii="Noto Sans" w:cs="Noto Sans" w:eastAsia="Noto Sans" w:hAnsi="Noto Sans"/>
          <w:rtl w:val="false"/>
        </w:rPr>
        <w:t xml:space="preserve"> — Reducen costes, riesgos y carga de gobernanza: contratación a través del panel, accesibilidad y cumplimiento integrados desde el primer día, búsqueda y rendimiento de nivel empresarial y herramientas de gobernanza para grandes equipos distribuidos.</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Contratación y servicios</w:t>
      </w:r>
    </w:p>
    <w:p>
      <w:pPr>
        <w:bidi w:val="false"/>
        <w:spacing w:after="120" w:line="276"/>
        <w:jc w:val="left"/>
      </w:pPr>
      <w:r>
        <w:rPr>
          <w:rFonts w:ascii="Noto Sans" w:cs="Noto Sans" w:eastAsia="Noto Sans" w:hAnsi="Noto Sans"/>
          <w:rtl w:val="false"/>
        </w:rPr>
        <w:t xml:space="preserve">Convivial for GovCMS lo ofrece Morpht, proveedor homologado en el GovCMS Drupal Services Panel (DSP). Las agencias federales y estatales elegibles pueden contratar la implementación, configuración y soporte directamente a través del panel. Los servicios DXP continuos disponibles bajo el mismo acuerdo incluyen personalización de contenidos, Recommendations as a Service y potenciación de contenidos con IA, junto con soporte de UX, diseño, contenido y desarrollo.</w:t>
      </w:r>
    </w:p>
    <w:p>
      <w:pPr>
        <w:bidi w:val="false"/>
        <w:spacing w:after="120" w:line="276"/>
        <w:jc w:val="left"/>
      </w:pPr>
      <w:r>
        <w:rPr>
          <w:rFonts w:ascii="Noto Sans" w:cs="Noto Sans" w:eastAsia="Noto Sans" w:hAnsi="Noto Sans"/>
          <w:b/>
          <w:bCs/>
          <w:rtl w:val="false"/>
        </w:rPr>
        <w:t xml:space="preserve">Construya un sitio en un día:</w:t>
      </w:r>
      <w:r>
        <w:rPr>
          <w:rFonts w:ascii="Noto Sans" w:cs="Noto Sans" w:eastAsia="Noto Sans" w:hAnsi="Noto Sans"/>
          <w:rtl w:val="false"/>
        </w:rPr>
        <w:t xml:space="preserve"> las agencias pueden explorar Convivial trabajando con Morpht en un sitio de demostración con las funciones listas para usar.</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Trayectoria</w:t>
      </w:r>
    </w:p>
    <w:p>
      <w:pPr>
        <w:bidi w:val="false"/>
        <w:spacing w:after="120" w:line="276"/>
        <w:jc w:val="left"/>
      </w:pPr>
      <w:r>
        <w:rPr>
          <w:rFonts w:ascii="Noto Sans" w:cs="Noto Sans" w:eastAsia="Noto Sans" w:hAnsi="Noto Sans"/>
          <w:rtl w:val="false"/>
        </w:rPr>
        <w:t xml:space="preserve">Entre los sitios construidos con Convivial for GovCMS:</w:t>
      </w:r>
    </w:p>
    <w:p>
      <w:pPr>
        <w:pStyle w:val="ListParagraph"/>
        <w:numPr>
          <w:ilvl w:val="0"/>
          <w:numId w:val="2"/>
        </w:numPr>
        <w:bidi w:val="false"/>
        <w:spacing w:after="60" w:line="276"/>
        <w:jc w:val="left"/>
      </w:pPr>
      <w:r>
        <w:rPr>
          <w:rFonts w:ascii="Noto Sans" w:cs="Noto Sans" w:eastAsia="Noto Sans" w:hAnsi="Noto Sans"/>
          <w:b/>
          <w:bCs/>
          <w:rtl w:val="false"/>
        </w:rPr>
        <w:t xml:space="preserve">National Office of Child Safety</w:t>
      </w:r>
      <w:r>
        <w:rPr>
          <w:rFonts w:ascii="Noto Sans" w:cs="Noto Sans" w:eastAsia="Noto Sans" w:hAnsi="Noto Sans"/>
          <w:rtl w:val="false"/>
        </w:rPr>
        <w:t xml:space="preserve"> — renovación de diseño y arquitectura de la información entregada en tres semanas. Splash Awards 2024 Best in Show (Government–Federal); finalista de los Australian Access Awards 2025</w:t>
      </w:r>
    </w:p>
    <w:p>
      <w:pPr>
        <w:pStyle w:val="ListParagraph"/>
        <w:numPr>
          <w:ilvl w:val="0"/>
          <w:numId w:val="2"/>
        </w:numPr>
        <w:bidi w:val="false"/>
        <w:spacing w:after="60" w:line="276"/>
        <w:jc w:val="left"/>
      </w:pPr>
      <w:r>
        <w:rPr>
          <w:rFonts w:ascii="Noto Sans" w:cs="Noto Sans" w:eastAsia="Noto Sans" w:hAnsi="Noto Sans"/>
          <w:b/>
          <w:bCs/>
          <w:rtl w:val="false"/>
        </w:rPr>
        <w:t xml:space="preserve">Medical Device Single Audit Program</w:t>
      </w:r>
      <w:r>
        <w:rPr>
          <w:rFonts w:ascii="Noto Sans" w:cs="Noto Sans" w:eastAsia="Noto Sans" w:hAnsi="Noto Sans"/>
          <w:rtl w:val="false"/>
        </w:rPr>
        <w:t xml:space="preserve"> — identidad de marca global y biblioteca de documentos con búsqueda. Ganador de los Splash Awards 2026 (Design/UX)</w:t>
      </w:r>
    </w:p>
    <w:p>
      <w:pPr>
        <w:pStyle w:val="ListParagraph"/>
        <w:numPr>
          <w:ilvl w:val="0"/>
          <w:numId w:val="2"/>
        </w:numPr>
        <w:bidi w:val="false"/>
        <w:spacing w:after="60" w:line="276"/>
        <w:jc w:val="left"/>
      </w:pPr>
      <w:r>
        <w:rPr>
          <w:rFonts w:ascii="Noto Sans" w:cs="Noto Sans" w:eastAsia="Noto Sans" w:hAnsi="Noto Sans"/>
          <w:b/>
          <w:bCs/>
          <w:rtl w:val="false"/>
        </w:rPr>
        <w:t xml:space="preserve">Reef Knowledge System (GBRMPA)</w:t>
      </w:r>
      <w:r>
        <w:rPr>
          <w:rFonts w:ascii="Noto Sans" w:cs="Noto Sans" w:eastAsia="Noto Sans" w:hAnsi="Noto Sans"/>
          <w:rtl w:val="false"/>
        </w:rPr>
        <w:t xml:space="preserve"> — navegación por temas y recomendaciones personalizadas. Subcampeón de los Splash Awards 2026</w:t>
      </w:r>
    </w:p>
    <w:p>
      <w:pPr>
        <w:pStyle w:val="ListParagraph"/>
        <w:numPr>
          <w:ilvl w:val="0"/>
          <w:numId w:val="2"/>
        </w:numPr>
        <w:bidi w:val="false"/>
        <w:spacing w:after="60" w:line="276"/>
        <w:jc w:val="left"/>
      </w:pPr>
      <w:r>
        <w:rPr>
          <w:rFonts w:ascii="Noto Sans" w:cs="Noto Sans" w:eastAsia="Noto Sans" w:hAnsi="Noto Sans"/>
          <w:b/>
          <w:bCs/>
          <w:rtl w:val="false"/>
        </w:rPr>
        <w:t xml:space="preserve">Reef Guardian Schools (GBRMPA)</w:t>
      </w:r>
      <w:r>
        <w:rPr>
          <w:rFonts w:ascii="Noto Sans" w:cs="Noto Sans" w:eastAsia="Noto Sans" w:hAnsi="Noto Sans"/>
          <w:rtl w:val="false"/>
        </w:rPr>
        <w:t xml:space="preserve"> — reconstrucción segura en SaaS con biblioteca de recursos curada. Subcampeón de los Splash Awards 2026 (Community Impact)</w:t>
      </w:r>
    </w:p>
    <w:p>
      <w:pPr>
        <w:pStyle w:val="ListParagraph"/>
        <w:numPr>
          <w:ilvl w:val="0"/>
          <w:numId w:val="2"/>
        </w:numPr>
        <w:bidi w:val="false"/>
        <w:spacing w:after="60" w:line="276"/>
        <w:jc w:val="left"/>
      </w:pPr>
      <w:r>
        <w:rPr>
          <w:rFonts w:ascii="Noto Sans" w:cs="Noto Sans" w:eastAsia="Noto Sans" w:hAnsi="Noto Sans"/>
          <w:b/>
          <w:bCs/>
          <w:rtl w:val="false"/>
        </w:rPr>
        <w:t xml:space="preserve">Attorney-General's Department</w:t>
      </w:r>
      <w:r>
        <w:rPr>
          <w:rFonts w:ascii="Noto Sans" w:cs="Noto Sans" w:eastAsia="Noto Sans" w:hAnsi="Noto Sans"/>
          <w:rtl w:val="false"/>
        </w:rPr>
        <w:t xml:space="preserve"> — más de 1.200 páginas y 6.000 publicaciones de cinco sitios consolidadas en nueve secciones con búsqueda</w:t>
      </w:r>
    </w:p>
    <w:p>
      <w:pPr>
        <w:pStyle w:val="ListParagraph"/>
        <w:numPr>
          <w:ilvl w:val="0"/>
          <w:numId w:val="2"/>
        </w:numPr>
        <w:bidi w:val="false"/>
        <w:spacing w:after="60" w:line="276"/>
        <w:jc w:val="left"/>
      </w:pPr>
      <w:r>
        <w:rPr>
          <w:rFonts w:ascii="Noto Sans" w:cs="Noto Sans" w:eastAsia="Noto Sans" w:hAnsi="Noto Sans"/>
          <w:b/>
          <w:bCs/>
          <w:rtl w:val="false"/>
        </w:rPr>
        <w:t xml:space="preserve">Independent Parliamentary Expenses Authority</w:t>
      </w:r>
      <w:r>
        <w:rPr>
          <w:rFonts w:ascii="Noto Sans" w:cs="Noto Sans" w:eastAsia="Noto Sans" w:hAnsi="Noto Sans"/>
          <w:rtl w:val="false"/>
        </w:rPr>
        <w:t xml:space="preserve"> — autogestión de más de 30.000 registros de gastos con búsqueda más rápida</w:t>
      </w:r>
    </w:p>
    <w:p>
      <w:pPr>
        <w:pStyle w:val="ListParagraph"/>
        <w:numPr>
          <w:ilvl w:val="0"/>
          <w:numId w:val="2"/>
        </w:numPr>
        <w:bidi w:val="false"/>
        <w:spacing w:after="60" w:line="276"/>
        <w:jc w:val="left"/>
      </w:pPr>
      <w:r>
        <w:rPr>
          <w:rFonts w:ascii="Noto Sans" w:cs="Noto Sans" w:eastAsia="Noto Sans" w:hAnsi="Noto Sans"/>
          <w:b/>
          <w:bCs/>
          <w:rtl w:val="false"/>
        </w:rPr>
        <w:t xml:space="preserve">Therapeutic Goods Administration</w:t>
      </w:r>
      <w:r>
        <w:rPr>
          <w:rFonts w:ascii="Noto Sans" w:cs="Noto Sans" w:eastAsia="Noto Sans" w:hAnsi="Noto Sans"/>
          <w:rtl w:val="false"/>
        </w:rPr>
        <w:t xml:space="preserve"> — 71 tipos de contenido consolidados en 49 en un sitio con 5,5 millones de visitantes mensuales</w:t>
      </w:r>
    </w:p>
    <w:p>
      <w:pPr>
        <w:pStyle w:val="ListParagraph"/>
        <w:numPr>
          <w:ilvl w:val="0"/>
          <w:numId w:val="2"/>
        </w:numPr>
        <w:bidi w:val="false"/>
        <w:spacing w:after="60" w:line="276"/>
        <w:jc w:val="left"/>
      </w:pPr>
      <w:r>
        <w:rPr>
          <w:rFonts w:ascii="Noto Sans" w:cs="Noto Sans" w:eastAsia="Noto Sans" w:hAnsi="Noto Sans"/>
          <w:b/>
          <w:bCs/>
          <w:rtl w:val="false"/>
        </w:rPr>
        <w:t xml:space="preserve">NSW Food Authority</w:t>
      </w:r>
      <w:r>
        <w:rPr>
          <w:rFonts w:ascii="Noto Sans" w:cs="Noto Sans" w:eastAsia="Noto Sans" w:hAnsi="Noto Sans"/>
          <w:rtl w:val="false"/>
        </w:rPr>
        <w:t xml:space="preserve"> — migración a GovCMS que aumentó el tráfico un 9,7 % y el tiempo en página un 44 %</w:t>
      </w:r>
    </w:p>
    <w:p>
      <w:pPr>
        <w:pStyle w:val="ListParagraph"/>
        <w:numPr>
          <w:ilvl w:val="0"/>
          <w:numId w:val="2"/>
        </w:numPr>
        <w:bidi w:val="false"/>
        <w:spacing w:after="60" w:line="276"/>
        <w:jc w:val="left"/>
      </w:pPr>
      <w:r>
        <w:rPr>
          <w:rFonts w:ascii="Noto Sans" w:cs="Noto Sans" w:eastAsia="Noto Sans" w:hAnsi="Noto Sans"/>
          <w:b/>
          <w:bCs/>
          <w:rtl w:val="false"/>
        </w:rPr>
        <w:t xml:space="preserve">Australian Immunisation Handbook Calculator</w:t>
      </w:r>
      <w:r>
        <w:rPr>
          <w:rFonts w:ascii="Noto Sans" w:cs="Noto Sans" w:eastAsia="Noto Sans" w:hAnsi="Noto Sans"/>
          <w:rtl w:val="false"/>
        </w:rPr>
        <w:t xml:space="preserve"> — calendarios de vacunación personalizados a partir de reglas clínicas complejas</w:t>
      </w:r>
    </w:p>
    <w:p>
      <w:pPr>
        <w:pStyle w:val="ListParagraph"/>
        <w:numPr>
          <w:ilvl w:val="0"/>
          <w:numId w:val="2"/>
        </w:numPr>
        <w:bidi w:val="false"/>
        <w:spacing w:after="60" w:line="276"/>
        <w:jc w:val="left"/>
      </w:pPr>
      <w:r>
        <w:rPr>
          <w:rFonts w:ascii="Noto Sans" w:cs="Noto Sans" w:eastAsia="Noto Sans" w:hAnsi="Noto Sans"/>
          <w:b/>
          <w:bCs/>
          <w:rtl w:val="false"/>
        </w:rPr>
        <w:t xml:space="preserve">Australian Financial Security Authority / PPSR</w:t>
      </w:r>
      <w:r>
        <w:rPr>
          <w:rFonts w:ascii="Noto Sans" w:cs="Noto Sans" w:eastAsia="Noto Sans" w:hAnsi="Noto Sans"/>
          <w:rtl w:val="false"/>
        </w:rPr>
        <w:t xml:space="preserve"> — adecuación a WCAG 2.1 AA; premios Innovation y Connecting with Community en los GovCMS Community Awards 2025</w:t>
      </w:r>
    </w:p>
    <w:p>
      <w:pPr>
        <w:pStyle w:val="ListParagraph"/>
        <w:numPr>
          <w:ilvl w:val="0"/>
          <w:numId w:val="2"/>
        </w:numPr>
        <w:bidi w:val="false"/>
        <w:spacing w:after="60" w:line="276"/>
        <w:jc w:val="left"/>
      </w:pPr>
      <w:r>
        <w:rPr>
          <w:rFonts w:ascii="Noto Sans" w:cs="Noto Sans" w:eastAsia="Noto Sans" w:hAnsi="Noto Sans"/>
          <w:b/>
          <w:bCs/>
          <w:rtl w:val="false"/>
        </w:rPr>
        <w:t xml:space="preserve">Defence and Veterans' Service Commission</w:t>
      </w:r>
      <w:r>
        <w:rPr>
          <w:rFonts w:ascii="Noto Sans" w:cs="Noto Sans" w:eastAsia="Noto Sans" w:hAnsi="Noto Sans"/>
          <w:rtl w:val="false"/>
        </w:rPr>
        <w:t xml:space="preserve"> — sitio institucional construido en seis semanas</w:t>
      </w:r>
    </w:p>
    <w:p>
      <w:pPr>
        <w:pStyle w:val="ListParagraph"/>
        <w:numPr>
          <w:ilvl w:val="0"/>
          <w:numId w:val="2"/>
        </w:numPr>
        <w:bidi w:val="false"/>
        <w:spacing w:after="60" w:line="276"/>
        <w:jc w:val="left"/>
      </w:pPr>
      <w:r>
        <w:rPr>
          <w:rFonts w:ascii="Noto Sans" w:cs="Noto Sans" w:eastAsia="Noto Sans" w:hAnsi="Noto Sans"/>
          <w:b/>
          <w:bCs/>
          <w:rtl w:val="false"/>
        </w:rPr>
        <w:t xml:space="preserve">Redfern Legal Centre</w:t>
      </w:r>
      <w:r>
        <w:rPr>
          <w:rFonts w:ascii="Noto Sans" w:cs="Noto Sans" w:eastAsia="Noto Sans" w:hAnsi="Noto Sans"/>
          <w:rtl w:val="false"/>
        </w:rPr>
        <w:t xml:space="preserve"> — reconstrucción pro bono para mejorar la accesibilidad y la localización de contenidos</w:t>
      </w:r>
    </w:p>
    <w:p>
      <w:pPr>
        <w:pBdr>
          <w:bottom w:val="single" w:color="BBBBBB" w:sz="6" w:space="1"/>
        </w:pBdr>
        <w:spacing w:after="240" w:before="120"/>
      </w:pPr>
    </w:p>
    <w:p>
      <w:pPr>
        <w:pStyle w:val="Heading1"/>
        <w:bidi w:val="false"/>
        <w:jc w:val="left"/>
      </w:pPr>
      <w:r>
        <w:rPr>
          <w:rFonts w:ascii="Noto Sans" w:cs="Noto Sans" w:eastAsia="Noto Sans" w:hAnsi="Noto Sans"/>
          <w:rtl w:val="false"/>
        </w:rPr>
        <w:t xml:space="preserve">Acerca de Morpht</w:t>
      </w:r>
    </w:p>
    <w:p>
      <w:pPr>
        <w:bidi w:val="false"/>
        <w:spacing w:after="120" w:line="276"/>
        <w:jc w:val="left"/>
      </w:pPr>
      <w:r>
        <w:rPr>
          <w:rFonts w:ascii="Noto Sans" w:cs="Noto Sans" w:eastAsia="Noto Sans" w:hAnsi="Noto Sans"/>
          <w:rtl w:val="false"/>
        </w:rPr>
        <w:t xml:space="preserve">Morpht es una agencia de desarrollo Drupal especializada en UX, GovCMS, personalización e integraciones de IA. Miembro de larga trayectoria de la comunidad GovCMS y proveedor destacado del Drupal Services Panel, Morpht ha construido y mantenido sitios para AGD, DOH, DOF, TGA y muchas otras agencias.</w:t>
      </w:r>
    </w:p>
    <w:p>
      <w:pPr>
        <w:bidi w:val="false"/>
        <w:spacing w:after="120" w:line="276"/>
        <w:jc w:val="left"/>
      </w:pPr>
      <w:r>
        <w:rPr>
          <w:rFonts w:ascii="Noto Sans" w:cs="Noto Sans" w:eastAsia="Noto Sans" w:hAnsi="Noto Sans"/>
          <w:b/>
          <w:bCs/>
          <w:rtl w:val="false"/>
        </w:rPr>
        <w:t xml:space="preserve">Contacto:</w:t>
      </w:r>
      <w:r>
        <w:rPr>
          <w:rFonts w:ascii="Noto Sans" w:cs="Noto Sans" w:eastAsia="Noto Sans" w:hAnsi="Noto Sans"/>
          <w:rtl w:val="false"/>
        </w:rPr>
        <w:t xml:space="preserve"> </w:t>
      </w:r>
      <w:hyperlink w:history="1" r:id="rIdfpw6etnt4ywb-ql2i4qr3">
        <w:r>
          <w:rPr>
            <w:rStyle w:val="Hyperlink"/>
            <w:rFonts w:ascii="Noto Sans" w:cs="Noto Sans" w:eastAsia="Noto Sans" w:hAnsi="Noto Sans"/>
            <w:rtl w:val="false"/>
          </w:rPr>
          <w:t xml:space="preserve">https://www.morpht.com</w:t>
        </w:r>
      </w:hyperlink>
      <w:r>
        <w:rPr>
          <w:rFonts w:ascii="Noto Sans" w:cs="Noto Sans" w:eastAsia="Noto Sans" w:hAnsi="Noto Sans"/>
          <w:rtl w:val="false"/>
        </w:rPr>
        <w:t xml:space="preserve"> · </w:t>
      </w:r>
      <w:hyperlink w:history="1" r:id="rIdh85d3t-tloj6uwoovlrf_">
        <w:r>
          <w:rPr>
            <w:rStyle w:val="Hyperlink"/>
            <w:rFonts w:ascii="Noto Sans" w:cs="Noto Sans" w:eastAsia="Noto Sans" w:hAnsi="Noto Sans"/>
            <w:rtl w:val="false"/>
          </w:rPr>
          <w:t xml:space="preserve">https://govcms.convivial.io/contact</w:t>
        </w:r>
      </w:hyperlink>
    </w:p>
    <w:p>
      <w:pPr>
        <w:bidi w:val="false"/>
        <w:spacing w:after="120" w:line="276"/>
        <w:jc w:val="left"/>
      </w:pPr>
      <w:r>
        <w:rPr>
          <w:rFonts w:ascii="Noto Sans" w:cs="Noto Sans" w:eastAsia="Noto Sans" w:hAnsi="Noto Sans"/>
          <w:i/>
          <w:iCs/>
          <w:rtl w:val="false"/>
        </w:rPr>
        <w:t xml:space="preserve">Convivial for GovCMS es un producto de Morpht, proveedor de servicios GovCMS Drupal, y no está afiliado al proyecto GovCMS.</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w:cs="Noto Sans" w:eastAsia="Noto Sans" w:hAnsi="Noto Sans"/>
        <w:sz w:val="20"/>
        <w:szCs w:val="20"/>
        <w:rtl w:val="false"/>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pPr>
    <w:rPr>
      <w:rFonts w:ascii="Noto Sans" w:cs="Noto Sans" w:eastAsia="Noto Sans" w:hAnsi="Noto Sans"/>
      <w:b/>
      <w:bCs/>
      <w:color w:val="1F4E79"/>
      <w:sz w:val="44"/>
      <w:szCs w:val="44"/>
    </w:rPr>
  </w:style>
  <w:style w:type="paragraph" w:styleId="Heading1">
    <w:name w:val="Heading 1"/>
    <w:basedOn w:val="Normal"/>
    <w:next w:val="Normal"/>
    <w:qFormat/>
    <w:pPr>
      <w:spacing w:after="140" w:before="320"/>
      <w:outlineLvl w:val="0"/>
    </w:pPr>
    <w:rPr>
      <w:rFonts w:ascii="Noto Sans" w:cs="Noto Sans" w:eastAsia="Noto Sans" w:hAnsi="Noto Sans"/>
      <w:b/>
      <w:bCs/>
      <w:color w:val="1F4E79"/>
      <w:sz w:val="30"/>
      <w:szCs w:val="30"/>
    </w:rPr>
  </w:style>
  <w:style w:type="paragraph" w:styleId="Heading2">
    <w:name w:val="Heading 2"/>
    <w:basedOn w:val="Normal"/>
    <w:next w:val="Normal"/>
    <w:qFormat/>
    <w:pPr>
      <w:spacing w:after="100" w:before="220"/>
      <w:outlineLvl w:val="1"/>
    </w:pPr>
    <w:rPr>
      <w:rFonts w:ascii="Noto Sans" w:cs="Noto Sans" w:eastAsia="Noto Sans" w:hAnsi="Noto Sans"/>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nt_8dyjge37p-9h806il" Type="http://schemas.openxmlformats.org/officeDocument/2006/relationships/hyperlink" Target="https://govcms.convivial.io" TargetMode="External"/><Relationship Id="rIdfpw6etnt4ywb-ql2i4qr3" Type="http://schemas.openxmlformats.org/officeDocument/2006/relationships/hyperlink" Target="https://www.morpht.com" TargetMode="External"/><Relationship Id="rIdh85d3t-tloj6uwoovlrf_" Type="http://schemas.openxmlformats.org/officeDocument/2006/relationships/hyperlink" Target="https://govcms.convivial.io/contac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Convivial for GovCMS — Factsheet</dc:title>
  <dc:creator>Morpht</dc:creator>
  <cp:lastModifiedBy>Un-named</cp:lastModifiedBy>
  <cp:revision>1</cp:revision>
  <dcterms:created xsi:type="dcterms:W3CDTF">2026-09-03T23:50:30.010Z</dcterms:created>
  <dcterms:modified xsi:type="dcterms:W3CDTF">2026-09-03T23:50:30.010Z</dcterms:modified>
</cp:coreProperties>
</file>

<file path=docProps/custom.xml><?xml version="1.0" encoding="utf-8"?>
<Properties xmlns="http://schemas.openxmlformats.org/officeDocument/2006/custom-properties" xmlns:vt="http://schemas.openxmlformats.org/officeDocument/2006/docPropsVTypes"/>
</file>