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val="false"/>
        <w:jc w:val="left"/>
      </w:pPr>
      <w:r>
        <w:rPr>
          <w:rFonts w:ascii="Noto Sans" w:cs="Noto Sans" w:eastAsia="Noto Sans" w:hAnsi="Noto Sans"/>
          <w:rtl w:val="false"/>
        </w:rPr>
        <w:t xml:space="preserve">Convivial for GovCMS — Factsheet</w:t>
      </w:r>
    </w:p>
    <w:p>
      <w:pPr>
        <w:bidi w:val="false"/>
        <w:spacing w:after="120" w:line="276"/>
        <w:jc w:val="left"/>
      </w:pPr>
      <w:r>
        <w:rPr>
          <w:rFonts w:ascii="Noto Sans" w:cs="Noto Sans" w:eastAsia="Noto Sans" w:hAnsi="Noto Sans"/>
          <w:b/>
          <w:bCs/>
          <w:rtl w:val="false"/>
        </w:rPr>
        <w:t xml:space="preserve">Editor friendly. Personalisation ready. Built for Australian government.</w:t>
      </w:r>
    </w:p>
    <w:p>
      <w:pPr>
        <w:bidi w:val="false"/>
        <w:spacing w:after="120" w:line="276"/>
        <w:jc w:val="left"/>
      </w:pPr>
      <w:r>
        <w:rPr>
          <w:rFonts w:ascii="Noto Sans" w:cs="Noto Sans" w:eastAsia="Noto Sans" w:hAnsi="Noto Sans"/>
          <w:rtl w:val="false"/>
        </w:rPr>
        <w:t xml:space="preserve">Convivial for GovCMS is an advanced starter site for GovCMS SaaS, developed by Morpht. It extends the standard GovCMS Starter theme with a full content model, a component library, no-code theming, enterprise search, personalisation and AI tools — so agencies can launch best-practice, accessible sites rapidly and spend their budget on the site's purpose rather than its plumbing.</w:t>
      </w:r>
    </w:p>
    <w:tbl>
      <w:tblPr>
        <w:bidiVisual w:val="false"/>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Product</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Convivial for GovCMS (starter site / theme)</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Platform</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GovCMS SaaS (Drupal 11)</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Front end</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Tailwind CSS + DaisyUI, Single Directory Components (SDC)</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Admin</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Gin admin theme, uplifted node edit screens and login</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Vendor</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Morpht — endorsed supplier on the GovCMS Drupal Services Panel</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Heritage</w:t>
            </w:r>
          </w:p>
        </w:tc>
        <w:tc>
          <w:tcPr>
            <w:tcW w:type="dxa" w:w="71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Shares its foundation with Convivial Gov on the Drupal Marketplace</w:t>
            </w:r>
          </w:p>
        </w:tc>
      </w:tr>
      <w:tr>
        <w:tc>
          <w:tcPr>
            <w:tcW w:type="dxa" w:w="22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Website</w:t>
            </w:r>
          </w:p>
        </w:tc>
        <w:tc>
          <w:tcPr>
            <w:tcW w:type="dxa" w:w="7160"/>
            <w:tcMar>
              <w:top w:type="dxa" w:w="80"/>
              <w:left w:type="dxa" w:w="120"/>
              <w:bottom w:type="dxa" w:w="80"/>
              <w:right w:type="dxa" w:w="120"/>
            </w:tcMar>
          </w:tcPr>
          <w:p>
            <w:pPr>
              <w:bidi w:val="false"/>
              <w:spacing w:after="0"/>
              <w:jc w:val="left"/>
            </w:pPr>
            <w:hyperlink w:history="1" r:id="rIdyqou29-6_g6ulqjvn6aog">
              <w:r>
                <w:rPr>
                  <w:rStyle w:val="Hyperlink"/>
                  <w:rFonts w:ascii="Noto Sans" w:cs="Noto Sans" w:eastAsia="Noto Sans" w:hAnsi="Noto Sans"/>
                  <w:rtl w:val="false"/>
                </w:rPr>
                <w:t xml:space="preserve">https://govcms.convivial.io</w:t>
              </w:r>
            </w:hyperlink>
          </w:p>
        </w:tc>
      </w:tr>
    </w:tbl>
    <w:p>
      <w:pPr>
        <w:spacing w:after="120"/>
      </w:pP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Why Convivial</w:t>
      </w:r>
    </w:p>
    <w:p>
      <w:pPr>
        <w:bidi w:val="false"/>
        <w:spacing w:after="120" w:line="276"/>
        <w:jc w:val="left"/>
      </w:pPr>
      <w:r>
        <w:rPr>
          <w:rFonts w:ascii="Noto Sans" w:cs="Noto Sans" w:eastAsia="Noto Sans" w:hAnsi="Noto Sans"/>
          <w:rtl w:val="false"/>
        </w:rPr>
        <w:t xml:space="preserve">A typical GovCMS build commissions a theme, a component library, a content model and an accessibility pass before any content work begins. Convivial ships with all four already built, encoding thousands of hours of Morpht know-how, so development concentrates on what is unique to each site.</w:t>
      </w:r>
    </w:p>
    <w:p>
      <w:pPr>
        <w:pStyle w:val="ListParagraph"/>
        <w:numPr>
          <w:ilvl w:val="0"/>
          <w:numId w:val="2"/>
        </w:numPr>
        <w:bidi w:val="false"/>
        <w:spacing w:after="60" w:line="276"/>
        <w:jc w:val="left"/>
      </w:pPr>
      <w:r>
        <w:rPr>
          <w:rFonts w:ascii="Noto Sans" w:cs="Noto Sans" w:eastAsia="Noto Sans" w:hAnsi="Noto Sans"/>
          <w:b/>
          <w:bCs/>
          <w:rtl w:val="false"/>
        </w:rPr>
        <w:t xml:space="preserve">Fast to launch</w:t>
      </w:r>
      <w:r>
        <w:rPr>
          <w:rFonts w:ascii="Noto Sans" w:cs="Noto Sans" w:eastAsia="Noto Sans" w:hAnsi="Noto Sans"/>
          <w:rtl w:val="false"/>
        </w:rPr>
        <w:t xml:space="preserve"> — no-code page building, a "build a site in a day" demonstration offer, and campaign pages that go live before the deadline.</w:t>
      </w:r>
    </w:p>
    <w:p>
      <w:pPr>
        <w:pStyle w:val="ListParagraph"/>
        <w:numPr>
          <w:ilvl w:val="0"/>
          <w:numId w:val="2"/>
        </w:numPr>
        <w:bidi w:val="false"/>
        <w:spacing w:after="60" w:line="276"/>
        <w:jc w:val="left"/>
      </w:pPr>
      <w:r>
        <w:rPr>
          <w:rFonts w:ascii="Noto Sans" w:cs="Noto Sans" w:eastAsia="Noto Sans" w:hAnsi="Noto Sans"/>
          <w:b/>
          <w:bCs/>
          <w:rtl w:val="false"/>
        </w:rPr>
        <w:t xml:space="preserve">Compliant by default</w:t>
      </w:r>
      <w:r>
        <w:rPr>
          <w:rFonts w:ascii="Noto Sans" w:cs="Noto Sans" w:eastAsia="Noto Sans" w:hAnsi="Noto Sans"/>
          <w:rtl w:val="false"/>
        </w:rPr>
        <w:t xml:space="preserve"> — WCAG AA conformance, keyboard accessibility and a target of 100 on Lighthouse accessibility and SEO on every page.</w:t>
      </w:r>
    </w:p>
    <w:p>
      <w:pPr>
        <w:pStyle w:val="ListParagraph"/>
        <w:numPr>
          <w:ilvl w:val="0"/>
          <w:numId w:val="2"/>
        </w:numPr>
        <w:bidi w:val="false"/>
        <w:spacing w:after="60" w:line="276"/>
        <w:jc w:val="left"/>
      </w:pPr>
      <w:r>
        <w:rPr>
          <w:rFonts w:ascii="Noto Sans" w:cs="Noto Sans" w:eastAsia="Noto Sans" w:hAnsi="Noto Sans"/>
          <w:b/>
          <w:bCs/>
          <w:rtl w:val="false"/>
        </w:rPr>
        <w:t xml:space="preserve">Low procurement friction</w:t>
      </w:r>
      <w:r>
        <w:rPr>
          <w:rFonts w:ascii="Noto Sans" w:cs="Noto Sans" w:eastAsia="Noto Sans" w:hAnsi="Noto Sans"/>
          <w:rtl w:val="false"/>
        </w:rPr>
        <w:t xml:space="preserve"> — engage Morpht directly through the GovCMS Drupal Services Panel rather than an open tender.</w:t>
      </w:r>
    </w:p>
    <w:p>
      <w:pPr>
        <w:pStyle w:val="ListParagraph"/>
        <w:numPr>
          <w:ilvl w:val="0"/>
          <w:numId w:val="2"/>
        </w:numPr>
        <w:bidi w:val="false"/>
        <w:spacing w:after="60" w:line="276"/>
        <w:jc w:val="left"/>
      </w:pPr>
      <w:r>
        <w:rPr>
          <w:rFonts w:ascii="Noto Sans" w:cs="Noto Sans" w:eastAsia="Noto Sans" w:hAnsi="Noto Sans"/>
          <w:b/>
          <w:bCs/>
          <w:rtl w:val="false"/>
        </w:rPr>
        <w:t xml:space="preserve">Easy to govern</w:t>
      </w:r>
      <w:r>
        <w:rPr>
          <w:rFonts w:ascii="Noto Sans" w:cs="Noto Sans" w:eastAsia="Noto Sans" w:hAnsi="Noto Sans"/>
          <w:rtl w:val="false"/>
        </w:rPr>
        <w:t xml:space="preserve"> — editorial dashboards, business-unit ownership and scheduled review keep large sites accurate over time.</w:t>
      </w:r>
    </w:p>
    <w:p>
      <w:pPr>
        <w:pStyle w:val="ListParagraph"/>
        <w:numPr>
          <w:ilvl w:val="0"/>
          <w:numId w:val="2"/>
        </w:numPr>
        <w:bidi w:val="false"/>
        <w:spacing w:after="60" w:line="276"/>
        <w:jc w:val="left"/>
      </w:pPr>
      <w:r>
        <w:rPr>
          <w:rFonts w:ascii="Noto Sans" w:cs="Noto Sans" w:eastAsia="Noto Sans" w:hAnsi="Noto Sans"/>
          <w:b/>
          <w:bCs/>
          <w:rtl w:val="false"/>
        </w:rPr>
        <w:t xml:space="preserve">Privacy-aligned personalisation</w:t>
      </w:r>
      <w:r>
        <w:rPr>
          <w:rFonts w:ascii="Noto Sans" w:cs="Noto Sans" w:eastAsia="Noto Sans" w:hAnsi="Noto Sans"/>
          <w:rtl w:val="false"/>
        </w:rPr>
        <w:t xml:space="preserve"> — profiling runs entirely client-side in the visitor's browser; no personal data collected, no third-party tracking, no separate CDP or martech platform to procure.</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Key capabilities</w:t>
      </w:r>
    </w:p>
    <w:p>
      <w:pPr>
        <w:pStyle w:val="Heading2"/>
        <w:bidi w:val="false"/>
        <w:jc w:val="left"/>
      </w:pPr>
      <w:r>
        <w:rPr>
          <w:rFonts w:ascii="Noto Sans" w:cs="Noto Sans" w:eastAsia="Noto Sans" w:hAnsi="Noto Sans"/>
          <w:rtl w:val="false"/>
        </w:rPr>
        <w:t xml:space="preserve">Accessibility and inclusivity</w:t>
      </w:r>
    </w:p>
    <w:p>
      <w:pPr>
        <w:pStyle w:val="ListParagraph"/>
        <w:numPr>
          <w:ilvl w:val="0"/>
          <w:numId w:val="2"/>
        </w:numPr>
        <w:bidi w:val="false"/>
        <w:spacing w:after="60" w:line="276"/>
        <w:jc w:val="left"/>
      </w:pPr>
      <w:r>
        <w:rPr>
          <w:rFonts w:ascii="Noto Sans" w:cs="Noto Sans" w:eastAsia="Noto Sans" w:hAnsi="Noto Sans"/>
          <w:rtl w:val="false"/>
        </w:rPr>
        <w:t xml:space="preserve">WCAG 2.2 AA conformance; Lighthouse accessibility score of 100 targeted on every page</w:t>
      </w:r>
    </w:p>
    <w:p>
      <w:pPr>
        <w:pStyle w:val="ListParagraph"/>
        <w:numPr>
          <w:ilvl w:val="0"/>
          <w:numId w:val="2"/>
        </w:numPr>
        <w:bidi w:val="false"/>
        <w:spacing w:after="60" w:line="276"/>
        <w:jc w:val="left"/>
      </w:pPr>
      <w:r>
        <w:rPr>
          <w:rFonts w:ascii="Noto Sans" w:cs="Noto Sans" w:eastAsia="Noto Sans" w:hAnsi="Noto Sans"/>
          <w:rtl w:val="false"/>
        </w:rPr>
        <w:t xml:space="preserve">Keyboard accessible, with skip-to-content and skip-navigation links and a megamenu</w:t>
      </w:r>
    </w:p>
    <w:p>
      <w:pPr>
        <w:pStyle w:val="ListParagraph"/>
        <w:numPr>
          <w:ilvl w:val="0"/>
          <w:numId w:val="2"/>
        </w:numPr>
        <w:bidi w:val="false"/>
        <w:spacing w:after="60" w:line="276"/>
        <w:jc w:val="left"/>
      </w:pPr>
      <w:r>
        <w:rPr>
          <w:rFonts w:ascii="Noto Sans" w:cs="Noto Sans" w:eastAsia="Noto Sans" w:hAnsi="Noto Sans"/>
          <w:rtl w:val="false"/>
        </w:rPr>
        <w:t xml:space="preserve">Consistent heading hierarchy and logical content ordering</w:t>
      </w:r>
    </w:p>
    <w:p>
      <w:pPr>
        <w:pStyle w:val="ListParagraph"/>
        <w:numPr>
          <w:ilvl w:val="0"/>
          <w:numId w:val="2"/>
        </w:numPr>
        <w:bidi w:val="false"/>
        <w:spacing w:after="60" w:line="276"/>
        <w:jc w:val="left"/>
      </w:pPr>
      <w:r>
        <w:rPr>
          <w:rFonts w:ascii="Noto Sans" w:cs="Noto Sans" w:eastAsia="Noto Sans" w:hAnsi="Noto Sans"/>
          <w:rtl w:val="false"/>
        </w:rPr>
        <w:t xml:space="preserve">Media transcripts for video, image and audio; decorative images handled correctly</w:t>
      </w:r>
    </w:p>
    <w:p>
      <w:pPr>
        <w:pStyle w:val="ListParagraph"/>
        <w:numPr>
          <w:ilvl w:val="0"/>
          <w:numId w:val="2"/>
        </w:numPr>
        <w:bidi w:val="false"/>
        <w:spacing w:after="60" w:line="276"/>
        <w:jc w:val="left"/>
      </w:pPr>
      <w:r>
        <w:rPr>
          <w:rFonts w:ascii="Noto Sans" w:cs="Noto Sans" w:eastAsia="Noto Sans" w:hAnsi="Noto Sans"/>
          <w:rtl w:val="false"/>
        </w:rPr>
        <w:t xml:space="preserve">Sticky, dynamic table of contents for long pages; back-to-top link</w:t>
      </w:r>
    </w:p>
    <w:p>
      <w:pPr>
        <w:pStyle w:val="ListParagraph"/>
        <w:numPr>
          <w:ilvl w:val="0"/>
          <w:numId w:val="2"/>
        </w:numPr>
        <w:bidi w:val="false"/>
        <w:spacing w:after="60" w:line="276"/>
        <w:jc w:val="left"/>
      </w:pPr>
      <w:r>
        <w:rPr>
          <w:rFonts w:ascii="Noto Sans" w:cs="Noto Sans" w:eastAsia="Noto Sans" w:hAnsi="Noto Sans"/>
          <w:rtl w:val="false"/>
        </w:rPr>
        <w:t xml:space="preserve">Built-in contrast checker when configuring colour palettes</w:t>
      </w:r>
    </w:p>
    <w:p>
      <w:pPr>
        <w:pStyle w:val="ListParagraph"/>
        <w:numPr>
          <w:ilvl w:val="0"/>
          <w:numId w:val="2"/>
        </w:numPr>
        <w:bidi w:val="false"/>
        <w:spacing w:after="60" w:line="276"/>
        <w:jc w:val="left"/>
      </w:pPr>
      <w:r>
        <w:rPr>
          <w:rFonts w:ascii="Noto Sans" w:cs="Noto Sans" w:eastAsia="Noto Sans" w:hAnsi="Noto Sans"/>
          <w:rtl w:val="false"/>
        </w:rPr>
        <w:t xml:space="preserve">Print CSS, and a Print and Listen option (ReadSpeaker) on every page</w:t>
      </w:r>
    </w:p>
    <w:p>
      <w:pPr>
        <w:pStyle w:val="ListParagraph"/>
        <w:numPr>
          <w:ilvl w:val="0"/>
          <w:numId w:val="2"/>
        </w:numPr>
        <w:bidi w:val="false"/>
        <w:spacing w:after="60" w:line="276"/>
        <w:jc w:val="left"/>
      </w:pPr>
      <w:r>
        <w:rPr>
          <w:rFonts w:ascii="Noto Sans" w:cs="Noto Sans" w:eastAsia="Noto Sans" w:hAnsi="Noto Sans"/>
          <w:rtl w:val="false"/>
        </w:rPr>
        <w:t xml:space="preserve">Dark mode switcher, language switcher (Google Translate), right-to-left language support, reduced-motion preference respected</w:t>
      </w:r>
    </w:p>
    <w:p>
      <w:pPr>
        <w:pStyle w:val="Heading2"/>
        <w:bidi w:val="false"/>
        <w:jc w:val="left"/>
      </w:pPr>
      <w:r>
        <w:rPr>
          <w:rFonts w:ascii="Noto Sans" w:cs="Noto Sans" w:eastAsia="Noto Sans" w:hAnsi="Noto Sans"/>
          <w:rtl w:val="false"/>
        </w:rPr>
        <w:t xml:space="preserve">Design and theming (no code)</w:t>
      </w:r>
    </w:p>
    <w:p>
      <w:pPr>
        <w:pStyle w:val="ListParagraph"/>
        <w:numPr>
          <w:ilvl w:val="0"/>
          <w:numId w:val="2"/>
        </w:numPr>
        <w:bidi w:val="false"/>
        <w:spacing w:after="60" w:line="276"/>
        <w:jc w:val="left"/>
      </w:pPr>
      <w:r>
        <w:rPr>
          <w:rFonts w:ascii="Noto Sans" w:cs="Noto Sans" w:eastAsia="Noto Sans" w:hAnsi="Noto Sans"/>
          <w:rtl w:val="false"/>
        </w:rPr>
        <w:t xml:space="preserve">Flexible theme settings UI drives CSS variables across the site — largely removes the need for a themer</w:t>
      </w:r>
    </w:p>
    <w:p>
      <w:pPr>
        <w:pStyle w:val="ListParagraph"/>
        <w:numPr>
          <w:ilvl w:val="0"/>
          <w:numId w:val="2"/>
        </w:numPr>
        <w:bidi w:val="false"/>
        <w:spacing w:after="60" w:line="276"/>
        <w:jc w:val="left"/>
      </w:pPr>
      <w:r>
        <w:rPr>
          <w:rFonts w:ascii="Noto Sans" w:cs="Noto Sans" w:eastAsia="Noto Sans" w:hAnsi="Noto Sans"/>
          <w:rtl w:val="false"/>
        </w:rPr>
        <w:t xml:space="preserve">Colour palettes, colour schemes (light/dark) and skins for campaigns and site sections</w:t>
      </w:r>
    </w:p>
    <w:p>
      <w:pPr>
        <w:pStyle w:val="ListParagraph"/>
        <w:numPr>
          <w:ilvl w:val="0"/>
          <w:numId w:val="2"/>
        </w:numPr>
        <w:bidi w:val="false"/>
        <w:spacing w:after="60" w:line="276"/>
        <w:jc w:val="left"/>
      </w:pPr>
      <w:r>
        <w:rPr>
          <w:rFonts w:ascii="Noto Sans" w:cs="Noto Sans" w:eastAsia="Noto Sans" w:hAnsi="Noto Sans"/>
          <w:rtl w:val="false"/>
        </w:rPr>
        <w:t xml:space="preserve">Region-level default palettes, corner and effect settings, background overlays and textures</w:t>
      </w:r>
    </w:p>
    <w:p>
      <w:pPr>
        <w:pStyle w:val="ListParagraph"/>
        <w:numPr>
          <w:ilvl w:val="0"/>
          <w:numId w:val="2"/>
        </w:numPr>
        <w:bidi w:val="false"/>
        <w:spacing w:after="60" w:line="276"/>
        <w:jc w:val="left"/>
      </w:pPr>
      <w:r>
        <w:rPr>
          <w:rFonts w:ascii="Noto Sans" w:cs="Noto Sans" w:eastAsia="Noto Sans" w:hAnsi="Noto Sans"/>
          <w:rtl w:val="false"/>
        </w:rPr>
        <w:t xml:space="preserve">Main menu as simple, dropdown or megamenu; sidebar navigation with active path</w:t>
      </w:r>
    </w:p>
    <w:p>
      <w:pPr>
        <w:pStyle w:val="ListParagraph"/>
        <w:numPr>
          <w:ilvl w:val="0"/>
          <w:numId w:val="2"/>
        </w:numPr>
        <w:bidi w:val="false"/>
        <w:spacing w:after="60" w:line="276"/>
        <w:jc w:val="left"/>
      </w:pPr>
      <w:r>
        <w:rPr>
          <w:rFonts w:ascii="Noto Sans" w:cs="Noto Sans" w:eastAsia="Noto Sans" w:hAnsi="Noto Sans"/>
          <w:rtl w:val="false"/>
        </w:rPr>
        <w:t xml:space="preserve">Configurable banner with palettes, textures, backgrounds, images and clip paths</w:t>
      </w:r>
    </w:p>
    <w:p>
      <w:pPr>
        <w:pStyle w:val="ListParagraph"/>
        <w:numPr>
          <w:ilvl w:val="0"/>
          <w:numId w:val="2"/>
        </w:numPr>
        <w:bidi w:val="false"/>
        <w:spacing w:after="60" w:line="276"/>
        <w:jc w:val="left"/>
      </w:pPr>
      <w:r>
        <w:rPr>
          <w:rFonts w:ascii="Noto Sans" w:cs="Noto Sans" w:eastAsia="Noto Sans" w:hAnsi="Noto Sans"/>
          <w:rtl w:val="false"/>
        </w:rPr>
        <w:t xml:space="preserve">Comprehensive footer component; favicons configured via metatags without theming</w:t>
      </w:r>
    </w:p>
    <w:p>
      <w:pPr>
        <w:pStyle w:val="ListParagraph"/>
        <w:numPr>
          <w:ilvl w:val="0"/>
          <w:numId w:val="2"/>
        </w:numPr>
        <w:bidi w:val="false"/>
        <w:spacing w:after="60" w:line="276"/>
        <w:jc w:val="left"/>
      </w:pPr>
      <w:r>
        <w:rPr>
          <w:rFonts w:ascii="Noto Sans" w:cs="Noto Sans" w:eastAsia="Noto Sans" w:hAnsi="Noto Sans"/>
          <w:rtl w:val="false"/>
        </w:rPr>
        <w:t xml:space="preserve">Phosphor icons via the Drupal 11 icon API</w:t>
      </w:r>
    </w:p>
    <w:p>
      <w:pPr>
        <w:pStyle w:val="ListParagraph"/>
        <w:numPr>
          <w:ilvl w:val="0"/>
          <w:numId w:val="2"/>
        </w:numPr>
        <w:bidi w:val="false"/>
        <w:spacing w:after="60" w:line="276"/>
        <w:jc w:val="left"/>
      </w:pPr>
      <w:r>
        <w:rPr>
          <w:rFonts w:ascii="Noto Sans" w:cs="Noto Sans" w:eastAsia="Noto Sans" w:hAnsi="Noto Sans"/>
          <w:rtl w:val="false"/>
        </w:rPr>
        <w:t xml:space="preserve">Styled Form and Webform elements</w:t>
      </w:r>
    </w:p>
    <w:p>
      <w:pPr>
        <w:pStyle w:val="Heading2"/>
        <w:bidi w:val="false"/>
        <w:jc w:val="left"/>
      </w:pPr>
      <w:r>
        <w:rPr>
          <w:rFonts w:ascii="Noto Sans" w:cs="Noto Sans" w:eastAsia="Noto Sans" w:hAnsi="Noto Sans"/>
          <w:rtl w:val="false"/>
        </w:rPr>
        <w:t xml:space="preserve">Information architecture and content model</w:t>
      </w:r>
    </w:p>
    <w:p>
      <w:pPr>
        <w:bidi w:val="false"/>
        <w:spacing w:after="120" w:line="276"/>
        <w:jc w:val="left"/>
      </w:pPr>
      <w:r>
        <w:rPr>
          <w:rFonts w:ascii="Noto Sans" w:cs="Noto Sans" w:eastAsia="Noto Sans" w:hAnsi="Noto Sans"/>
          <w:b/>
          <w:bCs/>
          <w:rtl w:val="false"/>
        </w:rPr>
        <w:t xml:space="preserve">Content types:</w:t>
      </w:r>
      <w:r>
        <w:rPr>
          <w:rFonts w:ascii="Noto Sans" w:cs="Noto Sans" w:eastAsia="Noto Sans" w:hAnsi="Noto Sans"/>
          <w:rtl w:val="false"/>
        </w:rPr>
        <w:t xml:space="preserve"> Page, Section (landing pages), Collection (listings), Article, Article Type, Resource, Event, Person, Topic, Audience, FOI Disclosure, Alert</w:t>
      </w:r>
    </w:p>
    <w:p>
      <w:pPr>
        <w:bidi w:val="false"/>
        <w:spacing w:after="120" w:line="276"/>
        <w:jc w:val="left"/>
      </w:pPr>
      <w:r>
        <w:rPr>
          <w:rFonts w:ascii="Noto Sans" w:cs="Noto Sans" w:eastAsia="Noto Sans" w:hAnsi="Noto Sans"/>
          <w:b/>
          <w:bCs/>
          <w:rtl w:val="false"/>
        </w:rPr>
        <w:t xml:space="preserve">Vocabularies:</w:t>
      </w:r>
      <w:r>
        <w:rPr>
          <w:rFonts w:ascii="Noto Sans" w:cs="Noto Sans" w:eastAsia="Noto Sans" w:hAnsi="Noto Sans"/>
          <w:rtl w:val="false"/>
        </w:rPr>
        <w:t xml:space="preserve"> Event Type, Resource Type, Promotion Type, Media Tags, Unit (business ownership), and Goal / Intent / Stage for profile augmentation</w:t>
      </w:r>
    </w:p>
    <w:p>
      <w:pPr>
        <w:bidi w:val="false"/>
        <w:spacing w:after="120" w:line="276"/>
        <w:jc w:val="left"/>
      </w:pPr>
      <w:r>
        <w:rPr>
          <w:rFonts w:ascii="Noto Sans" w:cs="Noto Sans" w:eastAsia="Noto Sans" w:hAnsi="Noto Sans"/>
          <w:b/>
          <w:bCs/>
          <w:rtl w:val="false"/>
        </w:rPr>
        <w:t xml:space="preserve">View modes:</w:t>
      </w:r>
      <w:r>
        <w:rPr>
          <w:rFonts w:ascii="Noto Sans" w:cs="Noto Sans" w:eastAsia="Noto Sans" w:hAnsi="Noto Sans"/>
          <w:rtl w:val="false"/>
        </w:rPr>
        <w:t xml:space="preserve"> Small, medium and big teasers; image card; basic card; summary; search; title</w:t>
      </w:r>
    </w:p>
    <w:p>
      <w:pPr>
        <w:bidi w:val="false"/>
        <w:spacing w:after="120" w:line="276"/>
        <w:jc w:val="left"/>
      </w:pPr>
      <w:r>
        <w:rPr>
          <w:rFonts w:ascii="Noto Sans" w:cs="Noto Sans" w:eastAsia="Noto Sans" w:hAnsi="Noto Sans"/>
          <w:b/>
          <w:bCs/>
          <w:rtl w:val="false"/>
        </w:rPr>
        <w:t xml:space="preserve">Media types:</w:t>
      </w:r>
      <w:r>
        <w:rPr>
          <w:rFonts w:ascii="Noto Sans" w:cs="Noto Sans" w:eastAsia="Noto Sans" w:hAnsi="Noto Sans"/>
          <w:rtl w:val="false"/>
        </w:rPr>
        <w:t xml:space="preserve"> Image, File, Audio, Video, Remote Video (YouTube/Vimeo), 3D Model (</w:t>
      </w:r>
      <w:r>
        <w:rPr>
          <w:rFonts w:ascii="Noto Sans" w:cs="Noto Sans" w:eastAsia="Noto Sans" w:hAnsi="Noto Sans"/>
          <w:rtl w:val="false"/>
        </w:rPr>
        <w:t xml:space="preserve">&lt;model-viewer&gt;</w:t>
      </w:r>
      <w:r>
        <w:rPr>
          <w:rFonts w:ascii="Noto Sans" w:cs="Noto Sans" w:eastAsia="Noto Sans" w:hAnsi="Noto Sans"/>
          <w:rtl w:val="false"/>
        </w:rPr>
        <w:t xml:space="preserve">), Font (WOFF)</w:t>
      </w:r>
    </w:p>
    <w:p>
      <w:pPr>
        <w:pStyle w:val="Heading2"/>
        <w:bidi w:val="false"/>
        <w:jc w:val="left"/>
      </w:pPr>
      <w:r>
        <w:rPr>
          <w:rFonts w:ascii="Noto Sans" w:cs="Noto Sans" w:eastAsia="Noto Sans" w:hAnsi="Noto Sans"/>
          <w:rtl w:val="false"/>
        </w:rPr>
        <w:t xml:space="preserve">Components and page building</w:t>
      </w:r>
    </w:p>
    <w:p>
      <w:pPr>
        <w:bidi w:val="false"/>
        <w:spacing w:after="120" w:line="276"/>
        <w:jc w:val="left"/>
      </w:pPr>
      <w:r>
        <w:rPr>
          <w:rFonts w:ascii="Noto Sans" w:cs="Noto Sans" w:eastAsia="Noto Sans" w:hAnsi="Noto Sans"/>
          <w:rtl w:val="false"/>
        </w:rPr>
        <w:t xml:space="preserve">Editors assemble pages from a library of Single Directory Components with rich per-component options — no developer required.</w:t>
      </w:r>
    </w:p>
    <w:p>
      <w:pPr>
        <w:pStyle w:val="ListParagraph"/>
        <w:numPr>
          <w:ilvl w:val="0"/>
          <w:numId w:val="2"/>
        </w:numPr>
        <w:bidi w:val="false"/>
        <w:spacing w:after="60" w:line="276"/>
        <w:jc w:val="left"/>
      </w:pPr>
      <w:r>
        <w:rPr>
          <w:rFonts w:ascii="Noto Sans" w:cs="Noto Sans" w:eastAsia="Noto Sans" w:hAnsi="Noto Sans"/>
          <w:b/>
          <w:bCs/>
          <w:rtl w:val="false"/>
        </w:rPr>
        <w:t xml:space="preserve">Layout &amp; structure:</w:t>
      </w:r>
      <w:r>
        <w:rPr>
          <w:rFonts w:ascii="Noto Sans" w:cs="Noto Sans" w:eastAsia="Noto Sans" w:hAnsi="Noto Sans"/>
          <w:rtl w:val="false"/>
        </w:rPr>
        <w:t xml:space="preserve"> Section, Content, Content Tabs, Accordion / Accordion Group, Slider, Item List, Node List, Media List</w:t>
      </w:r>
    </w:p>
    <w:p>
      <w:pPr>
        <w:pStyle w:val="ListParagraph"/>
        <w:numPr>
          <w:ilvl w:val="0"/>
          <w:numId w:val="2"/>
        </w:numPr>
        <w:bidi w:val="false"/>
        <w:spacing w:after="60" w:line="276"/>
        <w:jc w:val="left"/>
      </w:pPr>
      <w:r>
        <w:rPr>
          <w:rFonts w:ascii="Noto Sans" w:cs="Noto Sans" w:eastAsia="Noto Sans" w:hAnsi="Noto Sans"/>
          <w:b/>
          <w:bCs/>
          <w:rtl w:val="false"/>
        </w:rPr>
        <w:t xml:space="preserve">Cards &amp; items:</w:t>
      </w:r>
      <w:r>
        <w:rPr>
          <w:rFonts w:ascii="Noto Sans" w:cs="Noto Sans" w:eastAsia="Noto Sans" w:hAnsi="Noto Sans"/>
          <w:rtl w:val="false"/>
        </w:rPr>
        <w:t xml:space="preserve"> Card, Item, Stat / Stats (animated), Timeline / Timeline Item</w:t>
      </w:r>
    </w:p>
    <w:p>
      <w:pPr>
        <w:pStyle w:val="ListParagraph"/>
        <w:numPr>
          <w:ilvl w:val="0"/>
          <w:numId w:val="2"/>
        </w:numPr>
        <w:bidi w:val="false"/>
        <w:spacing w:after="60" w:line="276"/>
        <w:jc w:val="left"/>
      </w:pPr>
      <w:r>
        <w:rPr>
          <w:rFonts w:ascii="Noto Sans" w:cs="Noto Sans" w:eastAsia="Noto Sans" w:hAnsi="Noto Sans"/>
          <w:b/>
          <w:bCs/>
          <w:rtl w:val="false"/>
        </w:rPr>
        <w:t xml:space="preserve">Data &amp; visualisation:</w:t>
      </w:r>
      <w:r>
        <w:rPr>
          <w:rFonts w:ascii="Noto Sans" w:cs="Noto Sans" w:eastAsia="Noto Sans" w:hAnsi="Noto Sans"/>
          <w:rtl w:val="false"/>
        </w:rPr>
        <w:t xml:space="preserve"> Charts (from CSV), Datatable (searchable, sortable CSV), GeoChart, Map (GeoJSON on Leaflet), Decision Flow</w:t>
      </w:r>
    </w:p>
    <w:p>
      <w:pPr>
        <w:pStyle w:val="ListParagraph"/>
        <w:numPr>
          <w:ilvl w:val="0"/>
          <w:numId w:val="2"/>
        </w:numPr>
        <w:bidi w:val="false"/>
        <w:spacing w:after="60" w:line="276"/>
        <w:jc w:val="left"/>
      </w:pPr>
      <w:r>
        <w:rPr>
          <w:rFonts w:ascii="Noto Sans" w:cs="Noto Sans" w:eastAsia="Noto Sans" w:hAnsi="Noto Sans"/>
          <w:b/>
          <w:bCs/>
          <w:rtl w:val="false"/>
        </w:rPr>
        <w:t xml:space="preserve">Media:</w:t>
      </w:r>
      <w:r>
        <w:rPr>
          <w:rFonts w:ascii="Noto Sans" w:cs="Noto Sans" w:eastAsia="Noto Sans" w:hAnsi="Noto Sans"/>
          <w:rtl w:val="false"/>
        </w:rPr>
        <w:t xml:space="preserve"> Gallery, Lightbox, Diff (image compare), Animation (scroll-driven), iFrame</w:t>
      </w:r>
    </w:p>
    <w:p>
      <w:pPr>
        <w:pStyle w:val="ListParagraph"/>
        <w:numPr>
          <w:ilvl w:val="0"/>
          <w:numId w:val="2"/>
        </w:numPr>
        <w:bidi w:val="false"/>
        <w:spacing w:after="60" w:line="276"/>
        <w:jc w:val="left"/>
      </w:pPr>
      <w:r>
        <w:rPr>
          <w:rFonts w:ascii="Noto Sans" w:cs="Noto Sans" w:eastAsia="Noto Sans" w:hAnsi="Noto Sans"/>
          <w:b/>
          <w:bCs/>
          <w:rtl w:val="false"/>
        </w:rPr>
        <w:t xml:space="preserve">Embeds:</w:t>
      </w:r>
      <w:r>
        <w:rPr>
          <w:rFonts w:ascii="Noto Sans" w:cs="Noto Sans" w:eastAsia="Noto Sans" w:hAnsi="Noto Sans"/>
          <w:rtl w:val="false"/>
        </w:rPr>
        <w:t xml:space="preserve"> Embedded Block, Custom Block, View, Webform; Snippet (JavaScript)</w:t>
      </w:r>
    </w:p>
    <w:p>
      <w:pPr>
        <w:pStyle w:val="ListParagraph"/>
        <w:numPr>
          <w:ilvl w:val="0"/>
          <w:numId w:val="2"/>
        </w:numPr>
        <w:bidi w:val="false"/>
        <w:spacing w:after="60" w:line="276"/>
        <w:jc w:val="left"/>
      </w:pPr>
      <w:r>
        <w:rPr>
          <w:rFonts w:ascii="Noto Sans" w:cs="Noto Sans" w:eastAsia="Noto Sans" w:hAnsi="Noto Sans"/>
          <w:b/>
          <w:bCs/>
          <w:rtl w:val="false"/>
        </w:rPr>
        <w:t xml:space="preserve">Personalisation &amp; AI:</w:t>
      </w:r>
      <w:r>
        <w:rPr>
          <w:rFonts w:ascii="Noto Sans" w:cs="Noto Sans" w:eastAsia="Noto Sans" w:hAnsi="Noto Sans"/>
          <w:rtl w:val="false"/>
        </w:rPr>
        <w:t xml:space="preserve"> Personified Content, Personified Data, Parameter, Recombee Scenario, Recombee Search, Search Prompt</w:t>
      </w:r>
    </w:p>
    <w:p>
      <w:pPr>
        <w:bidi w:val="false"/>
        <w:spacing w:after="120" w:line="276"/>
        <w:jc w:val="left"/>
      </w:pPr>
      <w:r>
        <w:rPr>
          <w:rFonts w:ascii="Noto Sans" w:cs="Noto Sans" w:eastAsia="Noto Sans" w:hAnsi="Noto Sans"/>
          <w:b/>
          <w:bCs/>
          <w:rtl w:val="false"/>
        </w:rPr>
        <w:t xml:space="preserve">Blocks:</w:t>
      </w:r>
      <w:r>
        <w:rPr>
          <w:rFonts w:ascii="Noto Sans" w:cs="Noto Sans" w:eastAsia="Noto Sans" w:hAnsi="Noto Sans"/>
          <w:rtl w:val="false"/>
        </w:rPr>
        <w:t xml:space="preserve"> Components container, Content, Disclaimer (modal), Logo, Modal, Personified Data, Promotion, Quick Exit, ReadSpeaker, Search, Social Share, Translate</w:t>
      </w:r>
    </w:p>
    <w:p>
      <w:pPr>
        <w:bidi w:val="false"/>
        <w:spacing w:after="120" w:line="276"/>
        <w:jc w:val="left"/>
      </w:pPr>
      <w:r>
        <w:rPr>
          <w:rFonts w:ascii="Noto Sans" w:cs="Noto Sans" w:eastAsia="Noto Sans" w:hAnsi="Noto Sans"/>
          <w:b/>
          <w:bCs/>
          <w:rtl w:val="false"/>
        </w:rPr>
        <w:t xml:space="preserve">Modifiers:</w:t>
      </w:r>
      <w:r>
        <w:rPr>
          <w:rFonts w:ascii="Noto Sans" w:cs="Noto Sans" w:eastAsia="Noto Sans" w:hAnsi="Noto Sans"/>
          <w:rtl w:val="false"/>
        </w:rPr>
        <w:t xml:space="preserve"> Adaptive height, audience visibility, colour background, colour-palette swap on scroll, linear and radial gradients, hide, image background, padding, parallax background, scroll reveal, video background</w:t>
      </w:r>
    </w:p>
    <w:p>
      <w:pPr>
        <w:bidi w:val="false"/>
        <w:spacing w:after="120" w:line="276"/>
        <w:jc w:val="left"/>
      </w:pPr>
      <w:r>
        <w:rPr>
          <w:rFonts w:ascii="Noto Sans" w:cs="Noto Sans" w:eastAsia="Noto Sans" w:hAnsi="Noto Sans"/>
          <w:b/>
          <w:bCs/>
          <w:rtl w:val="false"/>
        </w:rPr>
        <w:t xml:space="preserve">WYSIWYG:</w:t>
      </w:r>
      <w:r>
        <w:rPr>
          <w:rFonts w:ascii="Noto Sans" w:cs="Noto Sans" w:eastAsia="Noto Sans" w:hAnsi="Noto Sans"/>
          <w:rtl w:val="false"/>
        </w:rPr>
        <w:t xml:space="preserve"> Standard utility classes, responsive media embedding with widths, positions and captions, and prompt buttons that convert lists into contextual chat launchers (AI Edition)</w:t>
      </w:r>
    </w:p>
    <w:p>
      <w:pPr>
        <w:pStyle w:val="Heading2"/>
        <w:bidi w:val="false"/>
        <w:jc w:val="left"/>
      </w:pPr>
      <w:r>
        <w:rPr>
          <w:rFonts w:ascii="Noto Sans" w:cs="Noto Sans" w:eastAsia="Noto Sans" w:hAnsi="Noto Sans"/>
          <w:rtl w:val="false"/>
        </w:rPr>
        <w:t xml:space="preserve">Editorial governance</w:t>
      </w:r>
    </w:p>
    <w:p>
      <w:pPr>
        <w:pStyle w:val="ListParagraph"/>
        <w:numPr>
          <w:ilvl w:val="0"/>
          <w:numId w:val="2"/>
        </w:numPr>
        <w:bidi w:val="false"/>
        <w:spacing w:after="60" w:line="276"/>
        <w:jc w:val="left"/>
      </w:pPr>
      <w:r>
        <w:rPr>
          <w:rFonts w:ascii="Noto Sans" w:cs="Noto Sans" w:eastAsia="Noto Sans" w:hAnsi="Noto Sans"/>
          <w:rtl w:val="false"/>
        </w:rPr>
        <w:t xml:space="preserve">"Needs review", "Needs description" and "Needs alt text" admin listings flag exactly what needs attention</w:t>
      </w:r>
    </w:p>
    <w:p>
      <w:pPr>
        <w:pStyle w:val="ListParagraph"/>
        <w:numPr>
          <w:ilvl w:val="0"/>
          <w:numId w:val="2"/>
        </w:numPr>
        <w:bidi w:val="false"/>
        <w:spacing w:after="60" w:line="276"/>
        <w:jc w:val="left"/>
      </w:pPr>
      <w:r>
        <w:rPr>
          <w:rFonts w:ascii="Noto Sans" w:cs="Noto Sans" w:eastAsia="Noto Sans" w:hAnsi="Noto Sans"/>
          <w:rtl w:val="false"/>
        </w:rPr>
        <w:t xml:space="preserve">Review-by dates on content; published and updated dates for metadata, sorting and search boosting</w:t>
      </w:r>
    </w:p>
    <w:p>
      <w:pPr>
        <w:pStyle w:val="ListParagraph"/>
        <w:numPr>
          <w:ilvl w:val="0"/>
          <w:numId w:val="2"/>
        </w:numPr>
        <w:bidi w:val="false"/>
        <w:spacing w:after="60" w:line="276"/>
        <w:jc w:val="left"/>
      </w:pPr>
      <w:r>
        <w:rPr>
          <w:rFonts w:ascii="Noto Sans" w:cs="Noto Sans" w:eastAsia="Noto Sans" w:hAnsi="Noto Sans"/>
          <w:rtl w:val="false"/>
        </w:rPr>
        <w:t xml:space="preserve">Business-unit ownership groups content so responsible editors can find what needs updating</w:t>
      </w:r>
    </w:p>
    <w:p>
      <w:pPr>
        <w:pStyle w:val="ListParagraph"/>
        <w:numPr>
          <w:ilvl w:val="0"/>
          <w:numId w:val="2"/>
        </w:numPr>
        <w:bidi w:val="false"/>
        <w:spacing w:after="60" w:line="276"/>
        <w:jc w:val="left"/>
      </w:pPr>
      <w:r>
        <w:rPr>
          <w:rFonts w:ascii="Noto Sans" w:cs="Noto Sans" w:eastAsia="Noto Sans" w:hAnsi="Noto Sans"/>
          <w:rtl w:val="false"/>
        </w:rPr>
        <w:t xml:space="preserve">Bulk import of redirects; custom user page with editorial links</w:t>
      </w:r>
    </w:p>
    <w:p>
      <w:pPr>
        <w:pStyle w:val="ListParagraph"/>
        <w:numPr>
          <w:ilvl w:val="0"/>
          <w:numId w:val="2"/>
        </w:numPr>
        <w:bidi w:val="false"/>
        <w:spacing w:after="60" w:line="276"/>
        <w:jc w:val="left"/>
      </w:pPr>
      <w:r>
        <w:rPr>
          <w:rFonts w:ascii="Noto Sans" w:cs="Noto Sans" w:eastAsia="Noto Sans" w:hAnsi="Noto Sans"/>
          <w:rtl w:val="false"/>
        </w:rPr>
        <w:t xml:space="preserve">Provide-feedback form built into every page; standardised related-content region</w:t>
      </w:r>
    </w:p>
    <w:p>
      <w:pPr>
        <w:pStyle w:val="Heading2"/>
        <w:bidi w:val="false"/>
        <w:jc w:val="left"/>
      </w:pPr>
      <w:r>
        <w:rPr>
          <w:rFonts w:ascii="Noto Sans" w:cs="Noto Sans" w:eastAsia="Noto Sans" w:hAnsi="Noto Sans"/>
          <w:rtl w:val="false"/>
        </w:rPr>
        <w:t xml:space="preserve">Search, SEO and GEO</w:t>
      </w:r>
    </w:p>
    <w:p>
      <w:pPr>
        <w:pStyle w:val="ListParagraph"/>
        <w:numPr>
          <w:ilvl w:val="0"/>
          <w:numId w:val="2"/>
        </w:numPr>
        <w:bidi w:val="false"/>
        <w:spacing w:after="60" w:line="276"/>
        <w:jc w:val="left"/>
      </w:pPr>
      <w:r>
        <w:rPr>
          <w:rFonts w:ascii="Noto Sans" w:cs="Noto Sans" w:eastAsia="Noto Sans" w:hAnsi="Noto Sans"/>
          <w:rtl w:val="false"/>
        </w:rPr>
        <w:t xml:space="preserve">Apache Solr full-text search with facets (type, topic, audience, date), autocomplete and binary-file indexing</w:t>
      </w:r>
    </w:p>
    <w:p>
      <w:pPr>
        <w:pStyle w:val="ListParagraph"/>
        <w:numPr>
          <w:ilvl w:val="0"/>
          <w:numId w:val="2"/>
        </w:numPr>
        <w:bidi w:val="false"/>
        <w:spacing w:after="60" w:line="276"/>
        <w:jc w:val="left"/>
      </w:pPr>
      <w:r>
        <w:rPr>
          <w:rFonts w:ascii="Noto Sans" w:cs="Noto Sans" w:eastAsia="Noto Sans" w:hAnsi="Noto Sans"/>
          <w:rtl w:val="false"/>
        </w:rPr>
        <w:t xml:space="preserve">Date and content-type boosting to surface the most relevant, recent content</w:t>
      </w:r>
    </w:p>
    <w:p>
      <w:pPr>
        <w:pStyle w:val="ListParagraph"/>
        <w:numPr>
          <w:ilvl w:val="0"/>
          <w:numId w:val="2"/>
        </w:numPr>
        <w:bidi w:val="false"/>
        <w:spacing w:after="60" w:line="276"/>
        <w:jc w:val="left"/>
      </w:pPr>
      <w:r>
        <w:rPr>
          <w:rFonts w:ascii="Noto Sans" w:cs="Noto Sans" w:eastAsia="Noto Sans" w:hAnsi="Noto Sans"/>
          <w:rtl w:val="false"/>
        </w:rPr>
        <w:t xml:space="preserve">Standard and advanced metadata auto-populated for search and AI bots; XML sitemap on by default</w:t>
      </w:r>
    </w:p>
    <w:p>
      <w:pPr>
        <w:pStyle w:val="ListParagraph"/>
        <w:numPr>
          <w:ilvl w:val="0"/>
          <w:numId w:val="2"/>
        </w:numPr>
        <w:bidi w:val="false"/>
        <w:spacing w:after="60" w:line="276"/>
        <w:jc w:val="left"/>
      </w:pPr>
      <w:r>
        <w:rPr>
          <w:rFonts w:ascii="Noto Sans" w:cs="Noto Sans" w:eastAsia="Noto Sans" w:hAnsi="Noto Sans"/>
          <w:rtl w:val="false"/>
        </w:rPr>
        <w:t xml:space="preserve">Schema.org JSON-LD for properties and relationships, plus FAQ Page schema for accordions — content structured for both search engines and AI answer engines</w:t>
      </w:r>
    </w:p>
    <w:p>
      <w:pPr>
        <w:pStyle w:val="ListParagraph"/>
        <w:numPr>
          <w:ilvl w:val="0"/>
          <w:numId w:val="2"/>
        </w:numPr>
        <w:bidi w:val="false"/>
        <w:spacing w:after="60" w:line="276"/>
        <w:jc w:val="left"/>
      </w:pPr>
      <w:r>
        <w:rPr>
          <w:rFonts w:ascii="Noto Sans" w:cs="Noto Sans" w:eastAsia="Noto Sans" w:hAnsi="Noto Sans"/>
          <w:rtl w:val="false"/>
        </w:rPr>
        <w:t xml:space="preserve">Lighthouse SEO score of 100 targeted on every page</w:t>
      </w:r>
    </w:p>
    <w:p>
      <w:pPr>
        <w:pStyle w:val="Heading2"/>
        <w:bidi w:val="false"/>
        <w:jc w:val="left"/>
      </w:pPr>
      <w:r>
        <w:rPr>
          <w:rFonts w:ascii="Noto Sans" w:cs="Noto Sans" w:eastAsia="Noto Sans" w:hAnsi="Noto Sans"/>
          <w:rtl w:val="false"/>
        </w:rPr>
        <w:t xml:space="preserve">Personalisation and recommendations (DXP)</w:t>
      </w:r>
    </w:p>
    <w:p>
      <w:pPr>
        <w:pStyle w:val="ListParagraph"/>
        <w:numPr>
          <w:ilvl w:val="0"/>
          <w:numId w:val="2"/>
        </w:numPr>
        <w:bidi w:val="false"/>
        <w:spacing w:after="60" w:line="276"/>
        <w:jc w:val="left"/>
      </w:pPr>
      <w:r>
        <w:rPr>
          <w:rFonts w:ascii="Noto Sans" w:cs="Noto Sans" w:eastAsia="Noto Sans" w:hAnsi="Noto Sans"/>
          <w:b/>
          <w:bCs/>
          <w:rtl w:val="false"/>
        </w:rPr>
        <w:t xml:space="preserve">Convivial Profiler</w:t>
      </w:r>
      <w:r>
        <w:rPr>
          <w:rFonts w:ascii="Noto Sans" w:cs="Noto Sans" w:eastAsia="Noto Sans" w:hAnsi="Noto Sans"/>
          <w:rtl w:val="false"/>
        </w:rPr>
        <w:t xml:space="preserve"> — a lightweight, client-side personalisation engine that builds a behavioural profile from pages viewed, topics, audience type, goals, intent and stage, and uses it to drive promotions, recommendations and filtered content</w:t>
      </w:r>
    </w:p>
    <w:p>
      <w:pPr>
        <w:pStyle w:val="ListParagraph"/>
        <w:numPr>
          <w:ilvl w:val="0"/>
          <w:numId w:val="2"/>
        </w:numPr>
        <w:bidi w:val="false"/>
        <w:spacing w:after="60" w:line="276"/>
        <w:jc w:val="left"/>
      </w:pPr>
      <w:r>
        <w:rPr>
          <w:rFonts w:ascii="Noto Sans" w:cs="Noto Sans" w:eastAsia="Noto Sans" w:hAnsi="Noto Sans"/>
          <w:b/>
          <w:bCs/>
          <w:rtl w:val="false"/>
        </w:rPr>
        <w:t xml:space="preserve">Audience filter</w:t>
      </w:r>
      <w:r>
        <w:rPr>
          <w:rFonts w:ascii="Noto Sans" w:cs="Noto Sans" w:eastAsia="Noto Sans" w:hAnsi="Noto Sans"/>
          <w:rtl w:val="false"/>
        </w:rPr>
        <w:t xml:space="preserve"> — a simple select list lets visitors choose their audience; editors assign audiences to content and target promotional blocks without developer help</w:t>
      </w:r>
    </w:p>
    <w:p>
      <w:pPr>
        <w:pStyle w:val="ListParagraph"/>
        <w:numPr>
          <w:ilvl w:val="0"/>
          <w:numId w:val="2"/>
        </w:numPr>
        <w:bidi w:val="false"/>
        <w:spacing w:after="60" w:line="276"/>
        <w:jc w:val="left"/>
      </w:pPr>
      <w:r>
        <w:rPr>
          <w:rFonts w:ascii="Noto Sans" w:cs="Noto Sans" w:eastAsia="Noto Sans" w:hAnsi="Noto Sans"/>
          <w:b/>
          <w:bCs/>
          <w:rtl w:val="false"/>
        </w:rPr>
        <w:t xml:space="preserve">Recombee</w:t>
      </w:r>
      <w:r>
        <w:rPr>
          <w:rFonts w:ascii="Noto Sans" w:cs="Noto Sans" w:eastAsia="Noto Sans" w:hAnsi="Noto Sans"/>
          <w:rtl w:val="false"/>
        </w:rPr>
        <w:t xml:space="preserve"> — optional Recommender-as-a-Service integration applying collaborative filtering to surface related, popular and trending content in defined site sections</w:t>
      </w:r>
    </w:p>
    <w:p>
      <w:pPr>
        <w:pStyle w:val="ListParagraph"/>
        <w:numPr>
          <w:ilvl w:val="0"/>
          <w:numId w:val="2"/>
        </w:numPr>
        <w:bidi w:val="false"/>
        <w:spacing w:after="60" w:line="276"/>
        <w:jc w:val="left"/>
      </w:pPr>
      <w:r>
        <w:rPr>
          <w:rFonts w:ascii="Noto Sans" w:cs="Noto Sans" w:eastAsia="Noto Sans" w:hAnsi="Noto Sans"/>
          <w:rtl w:val="false"/>
        </w:rPr>
        <w:t xml:space="preserve">Campaign pages and microsites use the same profiling to adapt content per visitor, with distinct branding via skins and palettes</w:t>
      </w:r>
    </w:p>
    <w:p>
      <w:pPr>
        <w:pStyle w:val="Heading2"/>
        <w:bidi w:val="false"/>
        <w:jc w:val="left"/>
      </w:pPr>
      <w:r>
        <w:rPr>
          <w:rFonts w:ascii="Noto Sans" w:cs="Noto Sans" w:eastAsia="Noto Sans" w:hAnsi="Noto Sans"/>
          <w:rtl w:val="false"/>
        </w:rPr>
        <w:t xml:space="preserve">AI augmentation (AI Edition — beta)</w:t>
      </w:r>
    </w:p>
    <w:p>
      <w:pPr>
        <w:pStyle w:val="ListParagraph"/>
        <w:numPr>
          <w:ilvl w:val="0"/>
          <w:numId w:val="2"/>
        </w:numPr>
        <w:bidi w:val="false"/>
        <w:spacing w:after="60" w:line="276"/>
        <w:jc w:val="left"/>
      </w:pPr>
      <w:r>
        <w:rPr>
          <w:rFonts w:ascii="Noto Sans" w:cs="Noto Sans" w:eastAsia="Noto Sans" w:hAnsi="Noto Sans"/>
          <w:rtl w:val="false"/>
        </w:rPr>
        <w:t xml:space="preserve">Support for standard Drupal AI backends and features</w:t>
      </w:r>
    </w:p>
    <w:p>
      <w:pPr>
        <w:pStyle w:val="ListParagraph"/>
        <w:numPr>
          <w:ilvl w:val="0"/>
          <w:numId w:val="2"/>
        </w:numPr>
        <w:bidi w:val="false"/>
        <w:spacing w:after="60" w:line="276"/>
        <w:jc w:val="left"/>
      </w:pPr>
      <w:r>
        <w:rPr>
          <w:rFonts w:ascii="Noto Sans" w:cs="Noto Sans" w:eastAsia="Noto Sans" w:hAnsi="Noto Sans"/>
          <w:b/>
          <w:bCs/>
          <w:rtl w:val="false"/>
        </w:rPr>
        <w:t xml:space="preserve">Augmentor</w:t>
      </w:r>
      <w:r>
        <w:rPr>
          <w:rFonts w:ascii="Noto Sans" w:cs="Noto Sans" w:eastAsia="Noto Sans" w:hAnsi="Noto Sans"/>
          <w:rtl w:val="false"/>
        </w:rPr>
        <w:t xml:space="preserve"> tools on the edit form: draft articles, generate summaries, introductions and headings, extract keywords, and generate image alt text (connects to services such as ChatGPT, NLP Cloud and Google Cloud Vision)</w:t>
      </w:r>
    </w:p>
    <w:p>
      <w:pPr>
        <w:pStyle w:val="ListParagraph"/>
        <w:numPr>
          <w:ilvl w:val="0"/>
          <w:numId w:val="2"/>
        </w:numPr>
        <w:bidi w:val="false"/>
        <w:spacing w:after="60" w:line="276"/>
        <w:jc w:val="left"/>
      </w:pPr>
      <w:r>
        <w:rPr>
          <w:rFonts w:ascii="Noto Sans" w:cs="Noto Sans" w:eastAsia="Noto Sans" w:hAnsi="Noto Sans"/>
          <w:b/>
          <w:bCs/>
          <w:rtl w:val="false"/>
        </w:rPr>
        <w:t xml:space="preserve">Semantic search</w:t>
      </w:r>
      <w:r>
        <w:rPr>
          <w:rFonts w:ascii="Noto Sans" w:cs="Noto Sans" w:eastAsia="Noto Sans" w:hAnsi="Noto Sans"/>
          <w:rtl w:val="false"/>
        </w:rPr>
        <w:t xml:space="preserve"> — RAG-based conversational search with a chat UI integrated into the theme, thumbs up/down voting, follow-up questions and contextual prompt buttons within content</w:t>
      </w:r>
    </w:p>
    <w:p>
      <w:pPr>
        <w:pStyle w:val="ListParagraph"/>
        <w:numPr>
          <w:ilvl w:val="0"/>
          <w:numId w:val="2"/>
        </w:numPr>
        <w:bidi w:val="false"/>
        <w:spacing w:after="60" w:line="276"/>
        <w:jc w:val="left"/>
      </w:pPr>
      <w:r>
        <w:rPr>
          <w:rFonts w:ascii="Noto Sans" w:cs="Noto Sans" w:eastAsia="Noto Sans" w:hAnsi="Noto Sans"/>
          <w:b/>
          <w:bCs/>
          <w:rtl w:val="false"/>
        </w:rPr>
        <w:t xml:space="preserve">Guardrails</w:t>
      </w:r>
      <w:r>
        <w:rPr>
          <w:rFonts w:ascii="Noto Sans" w:cs="Noto Sans" w:eastAsia="Noto Sans" w:hAnsi="Noto Sans"/>
          <w:rtl w:val="false"/>
        </w:rPr>
        <w:t xml:space="preserve"> module protects personal and sensitive information from being shared with the LLM</w:t>
      </w:r>
    </w:p>
    <w:p>
      <w:pPr>
        <w:pStyle w:val="Heading2"/>
        <w:bidi w:val="false"/>
        <w:jc w:val="left"/>
      </w:pPr>
      <w:r>
        <w:rPr>
          <w:rFonts w:ascii="Noto Sans" w:cs="Noto Sans" w:eastAsia="Noto Sans" w:hAnsi="Noto Sans"/>
          <w:rtl w:val="false"/>
        </w:rPr>
        <w:t xml:space="preserve">Performance</w:t>
      </w:r>
    </w:p>
    <w:p>
      <w:pPr>
        <w:pStyle w:val="ListParagraph"/>
        <w:numPr>
          <w:ilvl w:val="0"/>
          <w:numId w:val="2"/>
        </w:numPr>
        <w:bidi w:val="false"/>
        <w:spacing w:after="60" w:line="276"/>
        <w:jc w:val="left"/>
      </w:pPr>
      <w:r>
        <w:rPr>
          <w:rFonts w:ascii="Noto Sans" w:cs="Noto Sans" w:eastAsia="Noto Sans" w:hAnsi="Noto Sans"/>
          <w:rtl w:val="false"/>
        </w:rPr>
        <w:t xml:space="preserve">Responsive images served at the correct resolution per device</w:t>
      </w:r>
    </w:p>
    <w:p>
      <w:pPr>
        <w:pStyle w:val="ListParagraph"/>
        <w:numPr>
          <w:ilvl w:val="0"/>
          <w:numId w:val="2"/>
        </w:numPr>
        <w:bidi w:val="false"/>
        <w:spacing w:after="60" w:line="276"/>
        <w:jc w:val="left"/>
      </w:pPr>
      <w:r>
        <w:rPr>
          <w:rFonts w:ascii="Noto Sans" w:cs="Noto Sans" w:eastAsia="Noto Sans" w:hAnsi="Noto Sans"/>
          <w:rtl w:val="false"/>
        </w:rPr>
        <w:t xml:space="preserve">Standard Drupal page caching with tag-based purging</w:t>
      </w:r>
    </w:p>
    <w:p>
      <w:pPr>
        <w:pStyle w:val="ListParagraph"/>
        <w:numPr>
          <w:ilvl w:val="0"/>
          <w:numId w:val="2"/>
        </w:numPr>
        <w:bidi w:val="false"/>
        <w:spacing w:after="60" w:line="276"/>
        <w:jc w:val="left"/>
      </w:pPr>
      <w:r>
        <w:rPr>
          <w:rFonts w:ascii="Noto Sans" w:cs="Noto Sans" w:eastAsia="Noto Sans" w:hAnsi="Noto Sans"/>
          <w:rtl w:val="false"/>
        </w:rPr>
        <w:t xml:space="preserve">Optimised library and asset loading</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Who it's built for</w:t>
      </w:r>
    </w:p>
    <w:p>
      <w:pPr>
        <w:bidi w:val="false"/>
        <w:spacing w:after="120" w:line="276"/>
        <w:jc w:val="left"/>
      </w:pPr>
      <w:r>
        <w:rPr>
          <w:rFonts w:ascii="Noto Sans" w:cs="Noto Sans" w:eastAsia="Noto Sans" w:hAnsi="Noto Sans"/>
          <w:b/>
          <w:bCs/>
          <w:rtl w:val="false"/>
        </w:rPr>
        <w:t xml:space="preserve">Editors</w:t>
      </w:r>
      <w:r>
        <w:rPr>
          <w:rFonts w:ascii="Noto Sans" w:cs="Noto Sans" w:eastAsia="Noto Sans" w:hAnsi="Noto Sans"/>
          <w:rtl w:val="false"/>
        </w:rPr>
        <w:t xml:space="preserve"> — Build pages, draft content and manage accessibility without a developer or manual alt-text audits: pre-built content types, components and view modes, AI drafting tools and editorial dashboards.</w:t>
      </w:r>
    </w:p>
    <w:p>
      <w:pPr>
        <w:bidi w:val="false"/>
        <w:spacing w:after="120" w:line="276"/>
        <w:jc w:val="left"/>
      </w:pPr>
      <w:r>
        <w:rPr>
          <w:rFonts w:ascii="Noto Sans" w:cs="Noto Sans" w:eastAsia="Noto Sans" w:hAnsi="Noto Sans"/>
          <w:b/>
          <w:bCs/>
          <w:rtl w:val="false"/>
        </w:rPr>
        <w:t xml:space="preserve">Marketers</w:t>
      </w:r>
      <w:r>
        <w:rPr>
          <w:rFonts w:ascii="Noto Sans" w:cs="Noto Sans" w:eastAsia="Noto Sans" w:hAnsi="Noto Sans"/>
          <w:rtl w:val="false"/>
        </w:rPr>
        <w:t xml:space="preserve"> — Personalise, campaign and measure with no dev queue: no-code campaign pages, automatic personalisation via Convivial Profiler, and content built to be found by search engines and AI answer engines.</w:t>
      </w:r>
    </w:p>
    <w:p>
      <w:pPr>
        <w:bidi w:val="false"/>
        <w:spacing w:after="120" w:line="276"/>
        <w:jc w:val="left"/>
      </w:pPr>
      <w:r>
        <w:rPr>
          <w:rFonts w:ascii="Noto Sans" w:cs="Noto Sans" w:eastAsia="Noto Sans" w:hAnsi="Noto Sans"/>
          <w:b/>
          <w:bCs/>
          <w:rtl w:val="false"/>
        </w:rPr>
        <w:t xml:space="preserve">Site owners</w:t>
      </w:r>
      <w:r>
        <w:rPr>
          <w:rFonts w:ascii="Noto Sans" w:cs="Noto Sans" w:eastAsia="Noto Sans" w:hAnsi="Noto Sans"/>
          <w:rtl w:val="false"/>
        </w:rPr>
        <w:t xml:space="preserve"> — Reduce cost, risk and governance burden: panel-ready procurement, accessibility and compliance baked in from day one, enterprise search and performance, and governance tooling for large distributed teams.</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Procurement and services</w:t>
      </w:r>
    </w:p>
    <w:p>
      <w:pPr>
        <w:bidi w:val="false"/>
        <w:spacing w:after="120" w:line="276"/>
        <w:jc w:val="left"/>
      </w:pPr>
      <w:r>
        <w:rPr>
          <w:rFonts w:ascii="Noto Sans" w:cs="Noto Sans" w:eastAsia="Noto Sans" w:hAnsi="Noto Sans"/>
          <w:rtl w:val="false"/>
        </w:rPr>
        <w:t xml:space="preserve">Convivial for GovCMS is delivered by Morpht, an endorsed supplier on the GovCMS Drupal Services Panel (DSP). Eligible Commonwealth and state agencies can procure implementation, configuration and support directly through the panel. Ongoing DXP services available through the same arrangement include content personalisation, Recommendations as a Service and AI content augmentation, alongside UX, design, content and development support.</w:t>
      </w:r>
    </w:p>
    <w:p>
      <w:pPr>
        <w:bidi w:val="false"/>
        <w:spacing w:after="120" w:line="276"/>
        <w:jc w:val="left"/>
      </w:pPr>
      <w:r>
        <w:rPr>
          <w:rFonts w:ascii="Noto Sans" w:cs="Noto Sans" w:eastAsia="Noto Sans" w:hAnsi="Noto Sans"/>
          <w:b/>
          <w:bCs/>
          <w:rtl w:val="false"/>
        </w:rPr>
        <w:t xml:space="preserve">Build a site in a day:</w:t>
      </w:r>
      <w:r>
        <w:rPr>
          <w:rFonts w:ascii="Noto Sans" w:cs="Noto Sans" w:eastAsia="Noto Sans" w:hAnsi="Noto Sans"/>
          <w:rtl w:val="false"/>
        </w:rPr>
        <w:t xml:space="preserve"> agencies can explore Convivial by working with Morpht on a demonstration site using out-of-the-box features.</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Track record</w:t>
      </w:r>
    </w:p>
    <w:p>
      <w:pPr>
        <w:bidi w:val="false"/>
        <w:spacing w:after="120" w:line="276"/>
        <w:jc w:val="left"/>
      </w:pPr>
      <w:r>
        <w:rPr>
          <w:rFonts w:ascii="Noto Sans" w:cs="Noto Sans" w:eastAsia="Noto Sans" w:hAnsi="Noto Sans"/>
          <w:rtl w:val="false"/>
        </w:rPr>
        <w:t xml:space="preserve">Sites built with Convivial for GovCMS include:</w:t>
      </w:r>
    </w:p>
    <w:p>
      <w:pPr>
        <w:pStyle w:val="ListParagraph"/>
        <w:numPr>
          <w:ilvl w:val="0"/>
          <w:numId w:val="2"/>
        </w:numPr>
        <w:bidi w:val="false"/>
        <w:spacing w:after="60" w:line="276"/>
        <w:jc w:val="left"/>
      </w:pPr>
      <w:r>
        <w:rPr>
          <w:rFonts w:ascii="Noto Sans" w:cs="Noto Sans" w:eastAsia="Noto Sans" w:hAnsi="Noto Sans"/>
          <w:b/>
          <w:bCs/>
          <w:rtl w:val="false"/>
        </w:rPr>
        <w:t xml:space="preserve">National Office of Child Safety</w:t>
      </w:r>
      <w:r>
        <w:rPr>
          <w:rFonts w:ascii="Noto Sans" w:cs="Noto Sans" w:eastAsia="Noto Sans" w:hAnsi="Noto Sans"/>
          <w:rtl w:val="false"/>
        </w:rPr>
        <w:t xml:space="preserve"> — design and IA uplift delivered in three weeks. Splash Awards 2024 Best in Show (Government–Federal); Australian Access Awards 2025 finalist</w:t>
      </w:r>
    </w:p>
    <w:p>
      <w:pPr>
        <w:pStyle w:val="ListParagraph"/>
        <w:numPr>
          <w:ilvl w:val="0"/>
          <w:numId w:val="2"/>
        </w:numPr>
        <w:bidi w:val="false"/>
        <w:spacing w:after="60" w:line="276"/>
        <w:jc w:val="left"/>
      </w:pPr>
      <w:r>
        <w:rPr>
          <w:rFonts w:ascii="Noto Sans" w:cs="Noto Sans" w:eastAsia="Noto Sans" w:hAnsi="Noto Sans"/>
          <w:b/>
          <w:bCs/>
          <w:rtl w:val="false"/>
        </w:rPr>
        <w:t xml:space="preserve">Medical Device Single Audit Program</w:t>
      </w:r>
      <w:r>
        <w:rPr>
          <w:rFonts w:ascii="Noto Sans" w:cs="Noto Sans" w:eastAsia="Noto Sans" w:hAnsi="Noto Sans"/>
          <w:rtl w:val="false"/>
        </w:rPr>
        <w:t xml:space="preserve"> — global brand identity and searchable document library. Splash Awards 2026 winner (Design/UX)</w:t>
      </w:r>
    </w:p>
    <w:p>
      <w:pPr>
        <w:pStyle w:val="ListParagraph"/>
        <w:numPr>
          <w:ilvl w:val="0"/>
          <w:numId w:val="2"/>
        </w:numPr>
        <w:bidi w:val="false"/>
        <w:spacing w:after="60" w:line="276"/>
        <w:jc w:val="left"/>
      </w:pPr>
      <w:r>
        <w:rPr>
          <w:rFonts w:ascii="Noto Sans" w:cs="Noto Sans" w:eastAsia="Noto Sans" w:hAnsi="Noto Sans"/>
          <w:b/>
          <w:bCs/>
          <w:rtl w:val="false"/>
        </w:rPr>
        <w:t xml:space="preserve">Reef Knowledge System (GBRMPA)</w:t>
      </w:r>
      <w:r>
        <w:rPr>
          <w:rFonts w:ascii="Noto Sans" w:cs="Noto Sans" w:eastAsia="Noto Sans" w:hAnsi="Noto Sans"/>
          <w:rtl w:val="false"/>
        </w:rPr>
        <w:t xml:space="preserve"> — topic-based navigation and personalised recommendations. Splash Awards 2026 runner-up</w:t>
      </w:r>
    </w:p>
    <w:p>
      <w:pPr>
        <w:pStyle w:val="ListParagraph"/>
        <w:numPr>
          <w:ilvl w:val="0"/>
          <w:numId w:val="2"/>
        </w:numPr>
        <w:bidi w:val="false"/>
        <w:spacing w:after="60" w:line="276"/>
        <w:jc w:val="left"/>
      </w:pPr>
      <w:r>
        <w:rPr>
          <w:rFonts w:ascii="Noto Sans" w:cs="Noto Sans" w:eastAsia="Noto Sans" w:hAnsi="Noto Sans"/>
          <w:b/>
          <w:bCs/>
          <w:rtl w:val="false"/>
        </w:rPr>
        <w:t xml:space="preserve">Reef Guardian Schools (GBRMPA)</w:t>
      </w:r>
      <w:r>
        <w:rPr>
          <w:rFonts w:ascii="Noto Sans" w:cs="Noto Sans" w:eastAsia="Noto Sans" w:hAnsi="Noto Sans"/>
          <w:rtl w:val="false"/>
        </w:rPr>
        <w:t xml:space="preserve"> — secure SaaS rebuild with curated resource library. Splash Awards 2026 runner-up (Community Impact)</w:t>
      </w:r>
    </w:p>
    <w:p>
      <w:pPr>
        <w:pStyle w:val="ListParagraph"/>
        <w:numPr>
          <w:ilvl w:val="0"/>
          <w:numId w:val="2"/>
        </w:numPr>
        <w:bidi w:val="false"/>
        <w:spacing w:after="60" w:line="276"/>
        <w:jc w:val="left"/>
      </w:pPr>
      <w:r>
        <w:rPr>
          <w:rFonts w:ascii="Noto Sans" w:cs="Noto Sans" w:eastAsia="Noto Sans" w:hAnsi="Noto Sans"/>
          <w:b/>
          <w:bCs/>
          <w:rtl w:val="false"/>
        </w:rPr>
        <w:t xml:space="preserve">Attorney-General's Department</w:t>
      </w:r>
      <w:r>
        <w:rPr>
          <w:rFonts w:ascii="Noto Sans" w:cs="Noto Sans" w:eastAsia="Noto Sans" w:hAnsi="Noto Sans"/>
          <w:rtl w:val="false"/>
        </w:rPr>
        <w:t xml:space="preserve"> — 1,200+ pages and 6,000 publications across five sites consolidated into nine searchable sections</w:t>
      </w:r>
    </w:p>
    <w:p>
      <w:pPr>
        <w:pStyle w:val="ListParagraph"/>
        <w:numPr>
          <w:ilvl w:val="0"/>
          <w:numId w:val="2"/>
        </w:numPr>
        <w:bidi w:val="false"/>
        <w:spacing w:after="60" w:line="276"/>
        <w:jc w:val="left"/>
      </w:pPr>
      <w:r>
        <w:rPr>
          <w:rFonts w:ascii="Noto Sans" w:cs="Noto Sans" w:eastAsia="Noto Sans" w:hAnsi="Noto Sans"/>
          <w:b/>
          <w:bCs/>
          <w:rtl w:val="false"/>
        </w:rPr>
        <w:t xml:space="preserve">Independent Parliamentary Expenses Authority</w:t>
      </w:r>
      <w:r>
        <w:rPr>
          <w:rFonts w:ascii="Noto Sans" w:cs="Noto Sans" w:eastAsia="Noto Sans" w:hAnsi="Noto Sans"/>
          <w:rtl w:val="false"/>
        </w:rPr>
        <w:t xml:space="preserve"> — self-managed 30,000+ expenditure records with faster search</w:t>
      </w:r>
    </w:p>
    <w:p>
      <w:pPr>
        <w:pStyle w:val="ListParagraph"/>
        <w:numPr>
          <w:ilvl w:val="0"/>
          <w:numId w:val="2"/>
        </w:numPr>
        <w:bidi w:val="false"/>
        <w:spacing w:after="60" w:line="276"/>
        <w:jc w:val="left"/>
      </w:pPr>
      <w:r>
        <w:rPr>
          <w:rFonts w:ascii="Noto Sans" w:cs="Noto Sans" w:eastAsia="Noto Sans" w:hAnsi="Noto Sans"/>
          <w:b/>
          <w:bCs/>
          <w:rtl w:val="false"/>
        </w:rPr>
        <w:t xml:space="preserve">Therapeutic Goods Administration</w:t>
      </w:r>
      <w:r>
        <w:rPr>
          <w:rFonts w:ascii="Noto Sans" w:cs="Noto Sans" w:eastAsia="Noto Sans" w:hAnsi="Noto Sans"/>
          <w:rtl w:val="false"/>
        </w:rPr>
        <w:t xml:space="preserve"> — 71 content types consolidated to 49 on a site with 5.5M monthly visitors</w:t>
      </w:r>
    </w:p>
    <w:p>
      <w:pPr>
        <w:pStyle w:val="ListParagraph"/>
        <w:numPr>
          <w:ilvl w:val="0"/>
          <w:numId w:val="2"/>
        </w:numPr>
        <w:bidi w:val="false"/>
        <w:spacing w:after="60" w:line="276"/>
        <w:jc w:val="left"/>
      </w:pPr>
      <w:r>
        <w:rPr>
          <w:rFonts w:ascii="Noto Sans" w:cs="Noto Sans" w:eastAsia="Noto Sans" w:hAnsi="Noto Sans"/>
          <w:b/>
          <w:bCs/>
          <w:rtl w:val="false"/>
        </w:rPr>
        <w:t xml:space="preserve">NSW Food Authority</w:t>
      </w:r>
      <w:r>
        <w:rPr>
          <w:rFonts w:ascii="Noto Sans" w:cs="Noto Sans" w:eastAsia="Noto Sans" w:hAnsi="Noto Sans"/>
          <w:rtl w:val="false"/>
        </w:rPr>
        <w:t xml:space="preserve"> — GovCMS migration lifting traffic 9.7% and time on page 44%</w:t>
      </w:r>
    </w:p>
    <w:p>
      <w:pPr>
        <w:pStyle w:val="ListParagraph"/>
        <w:numPr>
          <w:ilvl w:val="0"/>
          <w:numId w:val="2"/>
        </w:numPr>
        <w:bidi w:val="false"/>
        <w:spacing w:after="60" w:line="276"/>
        <w:jc w:val="left"/>
      </w:pPr>
      <w:r>
        <w:rPr>
          <w:rFonts w:ascii="Noto Sans" w:cs="Noto Sans" w:eastAsia="Noto Sans" w:hAnsi="Noto Sans"/>
          <w:b/>
          <w:bCs/>
          <w:rtl w:val="false"/>
        </w:rPr>
        <w:t xml:space="preserve">Australian Immunisation Handbook Calculator</w:t>
      </w:r>
      <w:r>
        <w:rPr>
          <w:rFonts w:ascii="Noto Sans" w:cs="Noto Sans" w:eastAsia="Noto Sans" w:hAnsi="Noto Sans"/>
          <w:rtl w:val="false"/>
        </w:rPr>
        <w:t xml:space="preserve"> — tailored vaccination schedules from complex clinical rules</w:t>
      </w:r>
    </w:p>
    <w:p>
      <w:pPr>
        <w:pStyle w:val="ListParagraph"/>
        <w:numPr>
          <w:ilvl w:val="0"/>
          <w:numId w:val="2"/>
        </w:numPr>
        <w:bidi w:val="false"/>
        <w:spacing w:after="60" w:line="276"/>
        <w:jc w:val="left"/>
      </w:pPr>
      <w:r>
        <w:rPr>
          <w:rFonts w:ascii="Noto Sans" w:cs="Noto Sans" w:eastAsia="Noto Sans" w:hAnsi="Noto Sans"/>
          <w:b/>
          <w:bCs/>
          <w:rtl w:val="false"/>
        </w:rPr>
        <w:t xml:space="preserve">Australian Financial Security Authority / PPSR</w:t>
      </w:r>
      <w:r>
        <w:rPr>
          <w:rFonts w:ascii="Noto Sans" w:cs="Noto Sans" w:eastAsia="Noto Sans" w:hAnsi="Noto Sans"/>
          <w:rtl w:val="false"/>
        </w:rPr>
        <w:t xml:space="preserve"> — WCAG 2.1 AA uplift; GovCMS Community Awards 2025 Innovation and Connecting with Community awards</w:t>
      </w:r>
    </w:p>
    <w:p>
      <w:pPr>
        <w:pStyle w:val="ListParagraph"/>
        <w:numPr>
          <w:ilvl w:val="0"/>
          <w:numId w:val="2"/>
        </w:numPr>
        <w:bidi w:val="false"/>
        <w:spacing w:after="60" w:line="276"/>
        <w:jc w:val="left"/>
      </w:pPr>
      <w:r>
        <w:rPr>
          <w:rFonts w:ascii="Noto Sans" w:cs="Noto Sans" w:eastAsia="Noto Sans" w:hAnsi="Noto Sans"/>
          <w:b/>
          <w:bCs/>
          <w:rtl w:val="false"/>
        </w:rPr>
        <w:t xml:space="preserve">Defence and Veterans' Service Commission</w:t>
      </w:r>
      <w:r>
        <w:rPr>
          <w:rFonts w:ascii="Noto Sans" w:cs="Noto Sans" w:eastAsia="Noto Sans" w:hAnsi="Noto Sans"/>
          <w:rtl w:val="false"/>
        </w:rPr>
        <w:t xml:space="preserve"> — government-aligned site built in six weeks</w:t>
      </w:r>
    </w:p>
    <w:p>
      <w:pPr>
        <w:pStyle w:val="ListParagraph"/>
        <w:numPr>
          <w:ilvl w:val="0"/>
          <w:numId w:val="2"/>
        </w:numPr>
        <w:bidi w:val="false"/>
        <w:spacing w:after="60" w:line="276"/>
        <w:jc w:val="left"/>
      </w:pPr>
      <w:r>
        <w:rPr>
          <w:rFonts w:ascii="Noto Sans" w:cs="Noto Sans" w:eastAsia="Noto Sans" w:hAnsi="Noto Sans"/>
          <w:b/>
          <w:bCs/>
          <w:rtl w:val="false"/>
        </w:rPr>
        <w:t xml:space="preserve">Redfern Legal Centre</w:t>
      </w:r>
      <w:r>
        <w:rPr>
          <w:rFonts w:ascii="Noto Sans" w:cs="Noto Sans" w:eastAsia="Noto Sans" w:hAnsi="Noto Sans"/>
          <w:rtl w:val="false"/>
        </w:rPr>
        <w:t xml:space="preserve"> — pro-bono accessibility and findability rebuild</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About Morpht</w:t>
      </w:r>
    </w:p>
    <w:p>
      <w:pPr>
        <w:bidi w:val="false"/>
        <w:spacing w:after="120" w:line="276"/>
        <w:jc w:val="left"/>
      </w:pPr>
      <w:r>
        <w:rPr>
          <w:rFonts w:ascii="Noto Sans" w:cs="Noto Sans" w:eastAsia="Noto Sans" w:hAnsi="Noto Sans"/>
          <w:rtl w:val="false"/>
        </w:rPr>
        <w:t xml:space="preserve">Morpht is a Drupal development agency specialising in UX, GovCMS, personalisation and AI integrations. A long-standing member of the GovCMS community and a leading supplier on the Drupal Services Panel, Morpht has built and maintained sites for AGD, DOH, DOF, TGA and many other agencies.</w:t>
      </w:r>
    </w:p>
    <w:p>
      <w:pPr>
        <w:bidi w:val="false"/>
        <w:spacing w:after="120" w:line="276"/>
        <w:jc w:val="left"/>
      </w:pPr>
      <w:r>
        <w:rPr>
          <w:rFonts w:ascii="Noto Sans" w:cs="Noto Sans" w:eastAsia="Noto Sans" w:hAnsi="Noto Sans"/>
          <w:b/>
          <w:bCs/>
          <w:rtl w:val="false"/>
        </w:rPr>
        <w:t xml:space="preserve">Contact:</w:t>
      </w:r>
      <w:r>
        <w:rPr>
          <w:rFonts w:ascii="Noto Sans" w:cs="Noto Sans" w:eastAsia="Noto Sans" w:hAnsi="Noto Sans"/>
          <w:rtl w:val="false"/>
        </w:rPr>
        <w:t xml:space="preserve"> </w:t>
      </w:r>
      <w:hyperlink w:history="1" r:id="rIddmwsyaeveexuzielta7d2">
        <w:r>
          <w:rPr>
            <w:rStyle w:val="Hyperlink"/>
            <w:rFonts w:ascii="Noto Sans" w:cs="Noto Sans" w:eastAsia="Noto Sans" w:hAnsi="Noto Sans"/>
            <w:rtl w:val="false"/>
          </w:rPr>
          <w:t xml:space="preserve">https://www.morpht.com</w:t>
        </w:r>
      </w:hyperlink>
      <w:r>
        <w:rPr>
          <w:rFonts w:ascii="Noto Sans" w:cs="Noto Sans" w:eastAsia="Noto Sans" w:hAnsi="Noto Sans"/>
          <w:rtl w:val="false"/>
        </w:rPr>
        <w:t xml:space="preserve"> · </w:t>
      </w:r>
      <w:hyperlink w:history="1" r:id="rIdtzgphqehmnuxlbegg5ika">
        <w:r>
          <w:rPr>
            <w:rStyle w:val="Hyperlink"/>
            <w:rFonts w:ascii="Noto Sans" w:cs="Noto Sans" w:eastAsia="Noto Sans" w:hAnsi="Noto Sans"/>
            <w:rtl w:val="false"/>
          </w:rPr>
          <w:t xml:space="preserve">https://govcms.convivial.io/contact</w:t>
        </w:r>
      </w:hyperlink>
    </w:p>
    <w:p>
      <w:pPr>
        <w:bidi w:val="false"/>
        <w:spacing w:after="120" w:line="276"/>
        <w:jc w:val="left"/>
      </w:pPr>
      <w:r>
        <w:rPr>
          <w:rFonts w:ascii="Noto Sans" w:cs="Noto Sans" w:eastAsia="Noto Sans" w:hAnsi="Noto Sans"/>
          <w:i/>
          <w:iCs/>
          <w:rtl w:val="false"/>
        </w:rPr>
        <w:t xml:space="preserve">Convivial for GovCMS is produced by Morpht, a GovCMS Drupal Service Provider, and is not affiliated with the GovCMS project.</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w:cs="Noto Sans" w:eastAsia="Noto Sans" w:hAnsi="Noto Sans"/>
        <w:sz w:val="20"/>
        <w:szCs w:val="20"/>
        <w:rtl w:val="false"/>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Noto Sans" w:cs="Noto Sans" w:eastAsia="Noto Sans" w:hAnsi="Noto Sans"/>
      <w:b/>
      <w:bCs/>
      <w:color w:val="1F4E79"/>
      <w:sz w:val="44"/>
      <w:szCs w:val="44"/>
    </w:rPr>
  </w:style>
  <w:style w:type="paragraph" w:styleId="Heading1">
    <w:name w:val="Heading 1"/>
    <w:basedOn w:val="Normal"/>
    <w:next w:val="Normal"/>
    <w:qFormat/>
    <w:pPr>
      <w:spacing w:after="140" w:before="320"/>
      <w:outlineLvl w:val="0"/>
    </w:pPr>
    <w:rPr>
      <w:rFonts w:ascii="Noto Sans" w:cs="Noto Sans" w:eastAsia="Noto Sans" w:hAnsi="Noto Sans"/>
      <w:b/>
      <w:bCs/>
      <w:color w:val="1F4E79"/>
      <w:sz w:val="30"/>
      <w:szCs w:val="30"/>
    </w:rPr>
  </w:style>
  <w:style w:type="paragraph" w:styleId="Heading2">
    <w:name w:val="Heading 2"/>
    <w:basedOn w:val="Normal"/>
    <w:next w:val="Normal"/>
    <w:qFormat/>
    <w:pPr>
      <w:spacing w:after="100" w:before="220"/>
      <w:outlineLvl w:val="1"/>
    </w:pPr>
    <w:rPr>
      <w:rFonts w:ascii="Noto Sans" w:cs="Noto Sans" w:eastAsia="Noto Sans" w:hAnsi="Noto Sans"/>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qou29-6_g6ulqjvn6aog" Type="http://schemas.openxmlformats.org/officeDocument/2006/relationships/hyperlink" Target="https://govcms.convivial.io" TargetMode="External"/><Relationship Id="rIddmwsyaeveexuzielta7d2" Type="http://schemas.openxmlformats.org/officeDocument/2006/relationships/hyperlink" Target="https://www.morpht.com" TargetMode="External"/><Relationship Id="rIdtzgphqehmnuxlbegg5ika" Type="http://schemas.openxmlformats.org/officeDocument/2006/relationships/hyperlink" Target="https://govcms.convivial.io/contac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Convivial for GovCMS — Factsheet</dc:title>
  <dc:creator>Morpht</dc:creator>
  <cp:lastModifiedBy>Un-named</cp:lastModifiedBy>
  <cp:revision>1</cp:revision>
  <dcterms:created xsi:type="dcterms:W3CDTF">2026-09-03T22:57:58.802Z</dcterms:created>
  <dcterms:modified xsi:type="dcterms:W3CDTF">2026-09-03T22:57:58.812Z</dcterms:modified>
</cp:coreProperties>
</file>

<file path=docProps/custom.xml><?xml version="1.0" encoding="utf-8"?>
<Properties xmlns="http://schemas.openxmlformats.org/officeDocument/2006/custom-properties" xmlns:vt="http://schemas.openxmlformats.org/officeDocument/2006/docPropsVTypes"/>
</file>