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bidi w:val="false"/>
        <w:jc w:val="left"/>
      </w:pPr>
      <w:r>
        <w:rPr>
          <w:rFonts w:ascii="Noto Sans" w:cs="Noto Sans" w:eastAsia="Noto Sans" w:hAnsi="Noto Sans"/>
          <w:rtl w:val="false"/>
        </w:rPr>
        <w:t xml:space="preserve">Convivial for GovCMS — Informační list</w:t>
      </w:r>
    </w:p>
    <w:p>
      <w:pPr>
        <w:bidi w:val="false"/>
        <w:spacing w:after="12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Přívětivý pro editory. Připravený na personalizaci. Vytvořený pro australskou státní správu.</w:t>
      </w:r>
    </w:p>
    <w:p>
      <w:pPr>
        <w:bidi w:val="false"/>
        <w:spacing w:after="120" w:line="276"/>
        <w:jc w:val="left"/>
      </w:pPr>
      <w:r>
        <w:rPr>
          <w:rFonts w:ascii="Noto Sans" w:cs="Noto Sans" w:eastAsia="Noto Sans" w:hAnsi="Noto Sans"/>
          <w:rtl w:val="false"/>
        </w:rPr>
        <w:t xml:space="preserve">Convivial for GovCMS je pokročilý startovací web pro GovCMS SaaS vyvinutý společností Morpht. Rozšiřuje standardní téma GovCMS Starter o kompletní obsahový model, knihovnu komponent, úpravy vzhledu bez kódu, vyhledávání podnikové úrovně, personalizaci a nástroje umělé inteligence — takže úřady mohou rychle spustit přístupné weby podle osvědčených postupů a věnovat rozpočet účelu webu, nikoli jeho technickému zázemí.</w:t>
      </w:r>
    </w:p>
    <w:tbl>
      <w:tblPr>
        <w:bidiVisual w:val="false"/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shd w:fill="EAF0F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r>
              <w:rPr>
                <w:rFonts w:ascii="Noto Sans" w:cs="Noto Sans" w:eastAsia="Noto Sans" w:hAnsi="Noto Sans"/>
                <w:b/>
                <w:bCs/>
                <w:rtl w:val="false"/>
              </w:rPr>
              <w:t xml:space="preserve">Produkt</w:t>
            </w:r>
          </w:p>
        </w:tc>
        <w:tc>
          <w:tcPr>
            <w:tcW w:type="dxa" w:w="71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r>
              <w:rPr>
                <w:rFonts w:ascii="Noto Sans" w:cs="Noto Sans" w:eastAsia="Noto Sans" w:hAnsi="Noto Sans"/>
                <w:rtl w:val="false"/>
              </w:rPr>
              <w:t xml:space="preserve">Convivial for GovCMS (startovací web / téma)</w:t>
            </w:r>
          </w:p>
        </w:tc>
      </w:tr>
      <w:tr>
        <w:tc>
          <w:tcPr>
            <w:tcW w:type="dxa" w:w="2200"/>
            <w:shd w:fill="EAF0F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r>
              <w:rPr>
                <w:rFonts w:ascii="Noto Sans" w:cs="Noto Sans" w:eastAsia="Noto Sans" w:hAnsi="Noto Sans"/>
                <w:b/>
                <w:bCs/>
                <w:rtl w:val="false"/>
              </w:rPr>
              <w:t xml:space="preserve">Platforma</w:t>
            </w:r>
          </w:p>
        </w:tc>
        <w:tc>
          <w:tcPr>
            <w:tcW w:type="dxa" w:w="71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r>
              <w:rPr>
                <w:rFonts w:ascii="Noto Sans" w:cs="Noto Sans" w:eastAsia="Noto Sans" w:hAnsi="Noto Sans"/>
                <w:rtl w:val="false"/>
              </w:rPr>
              <w:t xml:space="preserve">GovCMS SaaS (Drupal 11)</w:t>
            </w:r>
          </w:p>
        </w:tc>
      </w:tr>
      <w:tr>
        <w:tc>
          <w:tcPr>
            <w:tcW w:type="dxa" w:w="2200"/>
            <w:shd w:fill="EAF0F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r>
              <w:rPr>
                <w:rFonts w:ascii="Noto Sans" w:cs="Noto Sans" w:eastAsia="Noto Sans" w:hAnsi="Noto Sans"/>
                <w:b/>
                <w:bCs/>
                <w:rtl w:val="false"/>
              </w:rPr>
              <w:t xml:space="preserve">Front end</w:t>
            </w:r>
          </w:p>
        </w:tc>
        <w:tc>
          <w:tcPr>
            <w:tcW w:type="dxa" w:w="71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r>
              <w:rPr>
                <w:rFonts w:ascii="Noto Sans" w:cs="Noto Sans" w:eastAsia="Noto Sans" w:hAnsi="Noto Sans"/>
                <w:rtl w:val="false"/>
              </w:rPr>
              <w:t xml:space="preserve">Tailwind CSS + DaisyUI, Single Directory Components (SDC)</w:t>
            </w:r>
          </w:p>
        </w:tc>
      </w:tr>
      <w:tr>
        <w:tc>
          <w:tcPr>
            <w:tcW w:type="dxa" w:w="2200"/>
            <w:shd w:fill="EAF0F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r>
              <w:rPr>
                <w:rFonts w:ascii="Noto Sans" w:cs="Noto Sans" w:eastAsia="Noto Sans" w:hAnsi="Noto Sans"/>
                <w:b/>
                <w:bCs/>
                <w:rtl w:val="false"/>
              </w:rPr>
              <w:t xml:space="preserve">Administrace</w:t>
            </w:r>
          </w:p>
        </w:tc>
        <w:tc>
          <w:tcPr>
            <w:tcW w:type="dxa" w:w="71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r>
              <w:rPr>
                <w:rFonts w:ascii="Noto Sans" w:cs="Noto Sans" w:eastAsia="Noto Sans" w:hAnsi="Noto Sans"/>
                <w:rtl w:val="false"/>
              </w:rPr>
              <w:t xml:space="preserve">Administrační téma Gin, vylepšené editační obrazovky a přihlášení</w:t>
            </w:r>
          </w:p>
        </w:tc>
      </w:tr>
      <w:tr>
        <w:tc>
          <w:tcPr>
            <w:tcW w:type="dxa" w:w="2200"/>
            <w:shd w:fill="EAF0F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r>
              <w:rPr>
                <w:rFonts w:ascii="Noto Sans" w:cs="Noto Sans" w:eastAsia="Noto Sans" w:hAnsi="Noto Sans"/>
                <w:b/>
                <w:bCs/>
                <w:rtl w:val="false"/>
              </w:rPr>
              <w:t xml:space="preserve">Dodavatel</w:t>
            </w:r>
          </w:p>
        </w:tc>
        <w:tc>
          <w:tcPr>
            <w:tcW w:type="dxa" w:w="71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r>
              <w:rPr>
                <w:rFonts w:ascii="Noto Sans" w:cs="Noto Sans" w:eastAsia="Noto Sans" w:hAnsi="Noto Sans"/>
                <w:rtl w:val="false"/>
              </w:rPr>
              <w:t xml:space="preserve">Morpht — schválený dodavatel v rámci GovCMS Drupal Services Panel</w:t>
            </w:r>
          </w:p>
        </w:tc>
      </w:tr>
      <w:tr>
        <w:tc>
          <w:tcPr>
            <w:tcW w:type="dxa" w:w="2200"/>
            <w:shd w:fill="EAF0F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r>
              <w:rPr>
                <w:rFonts w:ascii="Noto Sans" w:cs="Noto Sans" w:eastAsia="Noto Sans" w:hAnsi="Noto Sans"/>
                <w:b/>
                <w:bCs/>
                <w:rtl w:val="false"/>
              </w:rPr>
              <w:t xml:space="preserve">Původ</w:t>
            </w:r>
          </w:p>
        </w:tc>
        <w:tc>
          <w:tcPr>
            <w:tcW w:type="dxa" w:w="71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r>
              <w:rPr>
                <w:rFonts w:ascii="Noto Sans" w:cs="Noto Sans" w:eastAsia="Noto Sans" w:hAnsi="Noto Sans"/>
                <w:rtl w:val="false"/>
              </w:rPr>
              <w:t xml:space="preserve">Sdílí základ s Convivial Gov dostupným na Drupal Marketplace</w:t>
            </w:r>
          </w:p>
        </w:tc>
      </w:tr>
      <w:tr>
        <w:tc>
          <w:tcPr>
            <w:tcW w:type="dxa" w:w="2200"/>
            <w:shd w:fill="EAF0F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r>
              <w:rPr>
                <w:rFonts w:ascii="Noto Sans" w:cs="Noto Sans" w:eastAsia="Noto Sans" w:hAnsi="Noto Sans"/>
                <w:b/>
                <w:bCs/>
                <w:rtl w:val="false"/>
              </w:rPr>
              <w:t xml:space="preserve">Web</w:t>
            </w:r>
          </w:p>
        </w:tc>
        <w:tc>
          <w:tcPr>
            <w:tcW w:type="dxa" w:w="71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hyperlink w:history="1" r:id="rIdrymrzvxdzllrl7-uimnnt">
              <w:r>
                <w:rPr>
                  <w:rStyle w:val="Hyperlink"/>
                  <w:rFonts w:ascii="Noto Sans" w:cs="Noto Sans" w:eastAsia="Noto Sans" w:hAnsi="Noto Sans"/>
                  <w:rtl w:val="false"/>
                </w:rPr>
                <w:t xml:space="preserve">https://govcms.convivial.io</w:t>
              </w:r>
            </w:hyperlink>
          </w:p>
        </w:tc>
      </w:tr>
    </w:tbl>
    <w:p>
      <w:pPr>
        <w:spacing w:after="120"/>
      </w:pPr>
    </w:p>
    <w:p>
      <w:pPr>
        <w:pBdr>
          <w:bottom w:val="single" w:color="BBBBBB" w:sz="6" w:space="1"/>
        </w:pBdr>
        <w:spacing w:after="240" w:before="120"/>
      </w:pPr>
    </w:p>
    <w:p>
      <w:pPr>
        <w:pStyle w:val="Heading1"/>
        <w:bidi w:val="false"/>
        <w:jc w:val="left"/>
      </w:pPr>
      <w:r>
        <w:rPr>
          <w:rFonts w:ascii="Noto Sans" w:cs="Noto Sans" w:eastAsia="Noto Sans" w:hAnsi="Noto Sans"/>
          <w:rtl w:val="false"/>
        </w:rPr>
        <w:t xml:space="preserve">Proč Convivial</w:t>
      </w:r>
    </w:p>
    <w:p>
      <w:pPr>
        <w:bidi w:val="false"/>
        <w:spacing w:after="120" w:line="276"/>
        <w:jc w:val="left"/>
      </w:pPr>
      <w:r>
        <w:rPr>
          <w:rFonts w:ascii="Noto Sans" w:cs="Noto Sans" w:eastAsia="Noto Sans" w:hAnsi="Noto Sans"/>
          <w:rtl w:val="false"/>
        </w:rPr>
        <w:t xml:space="preserve">Typický projekt na GovCMS vyžaduje zadat vývoj tématu, knihovny komponent, obsahového modelu a audit přístupnosti dříve, než může začít práce na obsahu. Convivial má všechny čtyři již hotové a obsahuje tisíce hodin know-how společnosti Morpht, takže se vývoj soustředí na to, co je pro každý web jedinečné.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Rychlé spuštění</w:t>
      </w:r>
      <w:r>
        <w:rPr>
          <w:rFonts w:ascii="Noto Sans" w:cs="Noto Sans" w:eastAsia="Noto Sans" w:hAnsi="Noto Sans"/>
          <w:rtl w:val="false"/>
        </w:rPr>
        <w:t xml:space="preserve"> — tvorba stránek bez kódu, ukázková nabídka „web za jeden den" a kampaňové stránky spuštěné před termínem.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Soulad s předpisy ve výchozím stavu</w:t>
      </w:r>
      <w:r>
        <w:rPr>
          <w:rFonts w:ascii="Noto Sans" w:cs="Noto Sans" w:eastAsia="Noto Sans" w:hAnsi="Noto Sans"/>
          <w:rtl w:val="false"/>
        </w:rPr>
        <w:t xml:space="preserve"> — shoda s WCAG AA, ovládání klávesnicí a cíl 100 bodů v Lighthouse za přístupnost i SEO na každé stránce.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Snadné zadávání</w:t>
      </w:r>
      <w:r>
        <w:rPr>
          <w:rFonts w:ascii="Noto Sans" w:cs="Noto Sans" w:eastAsia="Noto Sans" w:hAnsi="Noto Sans"/>
          <w:rtl w:val="false"/>
        </w:rPr>
        <w:t xml:space="preserve"> — přímé zapojení Morpht přes GovCMS Drupal Services Panel namísto otevřeného výběrového řízení.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Snadná správa</w:t>
      </w:r>
      <w:r>
        <w:rPr>
          <w:rFonts w:ascii="Noto Sans" w:cs="Noto Sans" w:eastAsia="Noto Sans" w:hAnsi="Noto Sans"/>
          <w:rtl w:val="false"/>
        </w:rPr>
        <w:t xml:space="preserve"> — redakční přehledy, vlastnictví obsahu podle organizačních útvarů a plánované revize udržují velké weby dlouhodobě přesné.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Personalizace šetrná k soukromí</w:t>
      </w:r>
      <w:r>
        <w:rPr>
          <w:rFonts w:ascii="Noto Sans" w:cs="Noto Sans" w:eastAsia="Noto Sans" w:hAnsi="Noto Sans"/>
          <w:rtl w:val="false"/>
        </w:rPr>
        <w:t xml:space="preserve"> — profilování běží výhradně na straně klienta v prohlížeči návštěvníka; žádný sběr osobních údajů, žádné sledování třetími stranami, žádná samostatná CDP ani martech platforma k pořízení.</w:t>
      </w:r>
    </w:p>
    <w:p>
      <w:pPr>
        <w:pBdr>
          <w:bottom w:val="single" w:color="BBBBBB" w:sz="6" w:space="1"/>
        </w:pBdr>
        <w:spacing w:after="240" w:before="120"/>
      </w:pPr>
    </w:p>
    <w:p>
      <w:pPr>
        <w:pStyle w:val="Heading1"/>
        <w:bidi w:val="false"/>
        <w:jc w:val="left"/>
      </w:pPr>
      <w:r>
        <w:rPr>
          <w:rFonts w:ascii="Noto Sans" w:cs="Noto Sans" w:eastAsia="Noto Sans" w:hAnsi="Noto Sans"/>
          <w:rtl w:val="false"/>
        </w:rPr>
        <w:t xml:space="preserve">Klíčové funkce</w:t>
      </w:r>
    </w:p>
    <w:p>
      <w:pPr>
        <w:pStyle w:val="Heading2"/>
        <w:bidi w:val="false"/>
        <w:jc w:val="left"/>
      </w:pPr>
      <w:r>
        <w:rPr>
          <w:rFonts w:ascii="Noto Sans" w:cs="Noto Sans" w:eastAsia="Noto Sans" w:hAnsi="Noto Sans"/>
          <w:rtl w:val="false"/>
        </w:rPr>
        <w:t xml:space="preserve">Přístupnost a inkluzivita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Shoda s WCAG 2.2 AA; cíl 100 bodů za přístupnost v Lighthouse na každé stránce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Ovládání klávesnicí, odkazy „přeskočit na obsah" a „přeskočit navigaci" a megamenu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Konzistentní hierarchie nadpisů a logické řazení obsahu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Přepisy pro video, obrázky a audio; správné zacházení s dekorativními obrázky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Přichycený dynamický obsah pro dlouhé stránky; odkaz zpět nahoru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Vestavěná kontrola kontrastu při nastavování barevných palet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Tiskové CSS a možnost „Tisk a poslech" (ReadSpeaker) na každé stránce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Přepínač tmavého režimu, přepínač jazyka (Google Translate), podpora jazyků psaných zprava doleva, respektování preference omezeného pohybu</w:t>
      </w:r>
    </w:p>
    <w:p>
      <w:pPr>
        <w:pStyle w:val="Heading2"/>
        <w:bidi w:val="false"/>
        <w:jc w:val="left"/>
      </w:pPr>
      <w:r>
        <w:rPr>
          <w:rFonts w:ascii="Noto Sans" w:cs="Noto Sans" w:eastAsia="Noto Sans" w:hAnsi="Noto Sans"/>
          <w:rtl w:val="false"/>
        </w:rPr>
        <w:t xml:space="preserve">Design a vzhled (bez kódu)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Flexibilní rozhraní nastavení tématu řídí CSS proměnné v celém webu — do značné míry odpadá potřeba tvůrce šablon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Barevné palety, barevná schémata (světlé/tmavé) a skiny pro kampaně a sekce webu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Výchozí palety na úrovni regionů, nastavení zaoblení a efektů, překryvy pozadí a textury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Hlavní menu jako jednoduché, rozbalovací nebo megamenu; boční navigace s aktivní cestou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Konfigurovatelný banner s paletami, texturami, pozadími, obrázky a ořezovými cestami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Komplexní komponenta patičky; favicony nastavené přes metatagy bez zásahu do tématu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Ikony Phosphor prostřednictvím Drupal 11 icon API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Nastylované prvky Form a Webform</w:t>
      </w:r>
    </w:p>
    <w:p>
      <w:pPr>
        <w:pStyle w:val="Heading2"/>
        <w:bidi w:val="false"/>
        <w:jc w:val="left"/>
      </w:pPr>
      <w:r>
        <w:rPr>
          <w:rFonts w:ascii="Noto Sans" w:cs="Noto Sans" w:eastAsia="Noto Sans" w:hAnsi="Noto Sans"/>
          <w:rtl w:val="false"/>
        </w:rPr>
        <w:t xml:space="preserve">Informační architektura a obsahový model</w:t>
      </w:r>
    </w:p>
    <w:p>
      <w:pPr>
        <w:bidi w:val="false"/>
        <w:spacing w:after="12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Typy obsahu:</w:t>
      </w:r>
      <w:r>
        <w:rPr>
          <w:rFonts w:ascii="Noto Sans" w:cs="Noto Sans" w:eastAsia="Noto Sans" w:hAnsi="Noto Sans"/>
          <w:rtl w:val="false"/>
        </w:rPr>
        <w:t xml:space="preserve"> Page, Section (vstupní stránky), Collection (výpisy), Article, Article Type, Resource, Event, Person, Topic, Audience, FOI Disclosure, Alert</w:t>
      </w:r>
    </w:p>
    <w:p>
      <w:pPr>
        <w:bidi w:val="false"/>
        <w:spacing w:after="12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Slovníky:</w:t>
      </w:r>
      <w:r>
        <w:rPr>
          <w:rFonts w:ascii="Noto Sans" w:cs="Noto Sans" w:eastAsia="Noto Sans" w:hAnsi="Noto Sans"/>
          <w:rtl w:val="false"/>
        </w:rPr>
        <w:t xml:space="preserve"> Event Type, Resource Type, Promotion Type, Media Tags, Unit (organizační vlastnictví) a Goal / Intent / Stage pro obohacení profilu</w:t>
      </w:r>
    </w:p>
    <w:p>
      <w:pPr>
        <w:bidi w:val="false"/>
        <w:spacing w:after="12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Režimy zobrazení:</w:t>
      </w:r>
      <w:r>
        <w:rPr>
          <w:rFonts w:ascii="Noto Sans" w:cs="Noto Sans" w:eastAsia="Noto Sans" w:hAnsi="Noto Sans"/>
          <w:rtl w:val="false"/>
        </w:rPr>
        <w:t xml:space="preserve"> malé, střední a velké upoutávky; karta s obrázkem; základní karta; souhrn; vyhledávání; titulek</w:t>
      </w:r>
    </w:p>
    <w:p>
      <w:pPr>
        <w:bidi w:val="false"/>
        <w:spacing w:after="12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Typy médií:</w:t>
      </w:r>
      <w:r>
        <w:rPr>
          <w:rFonts w:ascii="Noto Sans" w:cs="Noto Sans" w:eastAsia="Noto Sans" w:hAnsi="Noto Sans"/>
          <w:rtl w:val="false"/>
        </w:rPr>
        <w:t xml:space="preserve"> obrázek, soubor, audio, video, vzdálené video (YouTube/Vimeo), 3D model (</w:t>
      </w:r>
      <w:r>
        <w:rPr>
          <w:rFonts w:ascii="Noto Sans" w:cs="Noto Sans" w:eastAsia="Noto Sans" w:hAnsi="Noto Sans"/>
          <w:rtl w:val="false"/>
        </w:rPr>
        <w:t xml:space="preserve">&lt;model-viewer&gt;</w:t>
      </w:r>
      <w:r>
        <w:rPr>
          <w:rFonts w:ascii="Noto Sans" w:cs="Noto Sans" w:eastAsia="Noto Sans" w:hAnsi="Noto Sans"/>
          <w:rtl w:val="false"/>
        </w:rPr>
        <w:t xml:space="preserve">), písmo (WOFF)</w:t>
      </w:r>
    </w:p>
    <w:p>
      <w:pPr>
        <w:pStyle w:val="Heading2"/>
        <w:bidi w:val="false"/>
        <w:jc w:val="left"/>
      </w:pPr>
      <w:r>
        <w:rPr>
          <w:rFonts w:ascii="Noto Sans" w:cs="Noto Sans" w:eastAsia="Noto Sans" w:hAnsi="Noto Sans"/>
          <w:rtl w:val="false"/>
        </w:rPr>
        <w:t xml:space="preserve">Komponenty a tvorba stránek</w:t>
      </w:r>
    </w:p>
    <w:p>
      <w:pPr>
        <w:bidi w:val="false"/>
        <w:spacing w:after="120" w:line="276"/>
        <w:jc w:val="left"/>
      </w:pPr>
      <w:r>
        <w:rPr>
          <w:rFonts w:ascii="Noto Sans" w:cs="Noto Sans" w:eastAsia="Noto Sans" w:hAnsi="Noto Sans"/>
          <w:rtl w:val="false"/>
        </w:rPr>
        <w:t xml:space="preserve">Editoři skládají stránky z knihovny Single Directory Components s bohatými možnostmi u každé komponenty — bez potřeby vývojáře.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Rozvržení a struktura:</w:t>
      </w:r>
      <w:r>
        <w:rPr>
          <w:rFonts w:ascii="Noto Sans" w:cs="Noto Sans" w:eastAsia="Noto Sans" w:hAnsi="Noto Sans"/>
          <w:rtl w:val="false"/>
        </w:rPr>
        <w:t xml:space="preserve"> Section, Content, Content Tabs, Accordion / Accordion Group, Slider, Item List, Node List, Media List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Karty a položky:</w:t>
      </w:r>
      <w:r>
        <w:rPr>
          <w:rFonts w:ascii="Noto Sans" w:cs="Noto Sans" w:eastAsia="Noto Sans" w:hAnsi="Noto Sans"/>
          <w:rtl w:val="false"/>
        </w:rPr>
        <w:t xml:space="preserve"> Card, Item, Stat / Stats (animované), Timeline / Timeline Item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Data a vizualizace:</w:t>
      </w:r>
      <w:r>
        <w:rPr>
          <w:rFonts w:ascii="Noto Sans" w:cs="Noto Sans" w:eastAsia="Noto Sans" w:hAnsi="Noto Sans"/>
          <w:rtl w:val="false"/>
        </w:rPr>
        <w:t xml:space="preserve"> Charts (z CSV), Datatable (prohledávatelná, řaditelná tabulka z CSV), GeoChart, Map (GeoJSON na Leaflet), Decision Flow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Média:</w:t>
      </w:r>
      <w:r>
        <w:rPr>
          <w:rFonts w:ascii="Noto Sans" w:cs="Noto Sans" w:eastAsia="Noto Sans" w:hAnsi="Noto Sans"/>
          <w:rtl w:val="false"/>
        </w:rPr>
        <w:t xml:space="preserve"> Gallery, Lightbox, Diff (porovnání obrázků), Animation (řízená scrollováním), iFrame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Vložení:</w:t>
      </w:r>
      <w:r>
        <w:rPr>
          <w:rFonts w:ascii="Noto Sans" w:cs="Noto Sans" w:eastAsia="Noto Sans" w:hAnsi="Noto Sans"/>
          <w:rtl w:val="false"/>
        </w:rPr>
        <w:t xml:space="preserve"> Embedded Block, Custom Block, View, Webform; Snippet (JavaScript)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Personalizace a AI:</w:t>
      </w:r>
      <w:r>
        <w:rPr>
          <w:rFonts w:ascii="Noto Sans" w:cs="Noto Sans" w:eastAsia="Noto Sans" w:hAnsi="Noto Sans"/>
          <w:rtl w:val="false"/>
        </w:rPr>
        <w:t xml:space="preserve"> Personified Content, Personified Data, Parameter, Recombee Scenario, Recombee Search, Search Prompt</w:t>
      </w:r>
    </w:p>
    <w:p>
      <w:pPr>
        <w:bidi w:val="false"/>
        <w:spacing w:after="12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Bloky:</w:t>
      </w:r>
      <w:r>
        <w:rPr>
          <w:rFonts w:ascii="Noto Sans" w:cs="Noto Sans" w:eastAsia="Noto Sans" w:hAnsi="Noto Sans"/>
          <w:rtl w:val="false"/>
        </w:rPr>
        <w:t xml:space="preserve"> kontejner Components, Content, Disclaimer (modální okno), Logo, Modal, Personified Data, Promotion, Quick Exit, ReadSpeaker, Search, Social Share, Translate</w:t>
      </w:r>
    </w:p>
    <w:p>
      <w:pPr>
        <w:bidi w:val="false"/>
        <w:spacing w:after="12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Modifikátory:</w:t>
      </w:r>
      <w:r>
        <w:rPr>
          <w:rFonts w:ascii="Noto Sans" w:cs="Noto Sans" w:eastAsia="Noto Sans" w:hAnsi="Noto Sans"/>
          <w:rtl w:val="false"/>
        </w:rPr>
        <w:t xml:space="preserve"> adaptivní výška, viditelnost podle publika, barva pozadí, změna palety při scrollování, lineární a radiální přechody, skrytí, obrázek na pozadí, odsazení, paralaxní pozadí, odhalení při scrollování, video na pozadí</w:t>
      </w:r>
    </w:p>
    <w:p>
      <w:pPr>
        <w:bidi w:val="false"/>
        <w:spacing w:after="12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WYSIWYG:</w:t>
      </w:r>
      <w:r>
        <w:rPr>
          <w:rFonts w:ascii="Noto Sans" w:cs="Noto Sans" w:eastAsia="Noto Sans" w:hAnsi="Noto Sans"/>
          <w:rtl w:val="false"/>
        </w:rPr>
        <w:t xml:space="preserve"> standardní pomocné třídy, vkládání responzivních médií se šířkami, pozicemi a popisky a tlačítka s výzvou, která převádějí seznamy na spouštěče kontextového chatu (AI Edition)</w:t>
      </w:r>
    </w:p>
    <w:p>
      <w:pPr>
        <w:pStyle w:val="Heading2"/>
        <w:bidi w:val="false"/>
        <w:jc w:val="left"/>
      </w:pPr>
      <w:r>
        <w:rPr>
          <w:rFonts w:ascii="Noto Sans" w:cs="Noto Sans" w:eastAsia="Noto Sans" w:hAnsi="Noto Sans"/>
          <w:rtl w:val="false"/>
        </w:rPr>
        <w:t xml:space="preserve">Redakční správa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Administrační přehledy „vyžaduje revizi", „chybí popis" a „chybí alternativní text" přesně označují, co vyžaduje pozornost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Termíny revize obsahu; data publikování a aktualizace pro metadata, řazení a zvýhodnění ve vyhledávání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Vlastnictví podle organizačních útvarů seskupuje obsah, aby odpovědní editoři našli, co je třeba aktualizovat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Hromadný import přesměrování; vlastní uživatelská stránka s redakčními odkazy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Formulář zpětné vazby na každé stránce; standardizovaná oblast souvisejícího obsahu</w:t>
      </w:r>
    </w:p>
    <w:p>
      <w:pPr>
        <w:pStyle w:val="Heading2"/>
        <w:bidi w:val="false"/>
        <w:jc w:val="left"/>
      </w:pPr>
      <w:r>
        <w:rPr>
          <w:rFonts w:ascii="Noto Sans" w:cs="Noto Sans" w:eastAsia="Noto Sans" w:hAnsi="Noto Sans"/>
          <w:rtl w:val="false"/>
        </w:rPr>
        <w:t xml:space="preserve">Vyhledávání, SEO a GEO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Fulltextové vyhledávání Apache Solr s fasetami (typ, téma, publikum, datum), automatickým doplňováním a indexováním binárních souborů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Zvýhodnění podle data a typu obsahu pro zobrazení nejrelevantnějšího a nejnovějšího obsahu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Standardní i rozšířená metadata automaticky vyplňovaná pro vyhledávače a AI roboty; XML sitemap zapnutá ve výchozím stavu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Schema.org JSON-LD pro vlastnosti a vztahy plus schéma FAQ Page pro akordeony — obsah strukturovaný pro vyhledávače i AI odpovědní systémy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Cíl 100 bodů za SEO v Lighthouse na každé stránce</w:t>
      </w:r>
    </w:p>
    <w:p>
      <w:pPr>
        <w:pStyle w:val="Heading2"/>
        <w:bidi w:val="false"/>
        <w:jc w:val="left"/>
      </w:pPr>
      <w:r>
        <w:rPr>
          <w:rFonts w:ascii="Noto Sans" w:cs="Noto Sans" w:eastAsia="Noto Sans" w:hAnsi="Noto Sans"/>
          <w:rtl w:val="false"/>
        </w:rPr>
        <w:t xml:space="preserve">Personalizace a doporučení (DXP)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Convivial Profiler</w:t>
      </w:r>
      <w:r>
        <w:rPr>
          <w:rFonts w:ascii="Noto Sans" w:cs="Noto Sans" w:eastAsia="Noto Sans" w:hAnsi="Noto Sans"/>
          <w:rtl w:val="false"/>
        </w:rPr>
        <w:t xml:space="preserve"> — odlehčený personalizační engine na straně klienta, který sestavuje behaviorální profil z navštívených stránek, témat, typu publika, cílů, záměrů a fáze a využívá jej k řízení propagací, doporučení a filtrovaného obsahu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Filtr publika</w:t>
      </w:r>
      <w:r>
        <w:rPr>
          <w:rFonts w:ascii="Noto Sans" w:cs="Noto Sans" w:eastAsia="Noto Sans" w:hAnsi="Noto Sans"/>
          <w:rtl w:val="false"/>
        </w:rPr>
        <w:t xml:space="preserve"> — jednoduchý výběrový seznam umožňuje návštěvníkům zvolit své publikum; editoři přiřazují publika k obsahu a cílí propagační bloky bez pomoci vývojáře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Recombee</w:t>
      </w:r>
      <w:r>
        <w:rPr>
          <w:rFonts w:ascii="Noto Sans" w:cs="Noto Sans" w:eastAsia="Noto Sans" w:hAnsi="Noto Sans"/>
          <w:rtl w:val="false"/>
        </w:rPr>
        <w:t xml:space="preserve"> — volitelná integrace Recommender-as-a-Service využívající kolaborativní filtrování k zobrazení souvisejícího, populárního a trendového obsahu v definovaných sekcích webu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Kampaňové stránky a microsity využívají stejné profilování k přizpůsobení obsahu každému návštěvníkovi, s odlišnou vizuální identitou pomocí skinů a palet</w:t>
      </w:r>
    </w:p>
    <w:p>
      <w:pPr>
        <w:pStyle w:val="Heading2"/>
        <w:bidi w:val="false"/>
        <w:jc w:val="left"/>
      </w:pPr>
      <w:r>
        <w:rPr>
          <w:rFonts w:ascii="Noto Sans" w:cs="Noto Sans" w:eastAsia="Noto Sans" w:hAnsi="Noto Sans"/>
          <w:rtl w:val="false"/>
        </w:rPr>
        <w:t xml:space="preserve">Rozšíření o AI (AI Edition — beta)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Podpora standardních backendů a funkcí Drupal AI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Nástroje </w:t>
      </w:r>
      <w:r>
        <w:rPr>
          <w:rFonts w:ascii="Noto Sans" w:cs="Noto Sans" w:eastAsia="Noto Sans" w:hAnsi="Noto Sans"/>
          <w:b/>
          <w:bCs/>
          <w:rtl w:val="false"/>
        </w:rPr>
        <w:t xml:space="preserve">Augmentor</w:t>
      </w:r>
      <w:r>
        <w:rPr>
          <w:rFonts w:ascii="Noto Sans" w:cs="Noto Sans" w:eastAsia="Noto Sans" w:hAnsi="Noto Sans"/>
          <w:rtl w:val="false"/>
        </w:rPr>
        <w:t xml:space="preserve"> v editačním formuláři: psaní konceptů článků, generování souhrnů, úvodů a nadpisů, extrakce klíčových slov a generování alternativního textu k obrázkům (napojení na služby jako ChatGPT, NLP Cloud a Google Cloud Vision)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Sémantické vyhledávání</w:t>
      </w:r>
      <w:r>
        <w:rPr>
          <w:rFonts w:ascii="Noto Sans" w:cs="Noto Sans" w:eastAsia="Noto Sans" w:hAnsi="Noto Sans"/>
          <w:rtl w:val="false"/>
        </w:rPr>
        <w:t xml:space="preserve"> — konverzační vyhledávání založené na RAG s chatovým rozhraním integrovaným do tématu, hlasováním palec nahoru/dolů, doplňujícími otázkami a kontextovými tlačítky s výzvou v obsahu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Modul </w:t>
      </w:r>
      <w:r>
        <w:rPr>
          <w:rFonts w:ascii="Noto Sans" w:cs="Noto Sans" w:eastAsia="Noto Sans" w:hAnsi="Noto Sans"/>
          <w:b/>
          <w:bCs/>
          <w:rtl w:val="false"/>
        </w:rPr>
        <w:t xml:space="preserve">Guardrails</w:t>
      </w:r>
      <w:r>
        <w:rPr>
          <w:rFonts w:ascii="Noto Sans" w:cs="Noto Sans" w:eastAsia="Noto Sans" w:hAnsi="Noto Sans"/>
          <w:rtl w:val="false"/>
        </w:rPr>
        <w:t xml:space="preserve"> chrání osobní a citlivé informace před sdílením s LLM</w:t>
      </w:r>
    </w:p>
    <w:p>
      <w:pPr>
        <w:pStyle w:val="Heading2"/>
        <w:bidi w:val="false"/>
        <w:jc w:val="left"/>
      </w:pPr>
      <w:r>
        <w:rPr>
          <w:rFonts w:ascii="Noto Sans" w:cs="Noto Sans" w:eastAsia="Noto Sans" w:hAnsi="Noto Sans"/>
          <w:rtl w:val="false"/>
        </w:rPr>
        <w:t xml:space="preserve">Výkon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Responzivní obrázky poskytované ve správném rozlišení pro každé zařízení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Standardní cachování stránek Drupalu s invalidací podle tagů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Optimalizované načítání knihoven a zdrojů</w:t>
      </w:r>
    </w:p>
    <w:p>
      <w:pPr>
        <w:pBdr>
          <w:bottom w:val="single" w:color="BBBBBB" w:sz="6" w:space="1"/>
        </w:pBdr>
        <w:spacing w:after="240" w:before="120"/>
      </w:pPr>
    </w:p>
    <w:p>
      <w:pPr>
        <w:pStyle w:val="Heading1"/>
        <w:bidi w:val="false"/>
        <w:jc w:val="left"/>
      </w:pPr>
      <w:r>
        <w:rPr>
          <w:rFonts w:ascii="Noto Sans" w:cs="Noto Sans" w:eastAsia="Noto Sans" w:hAnsi="Noto Sans"/>
          <w:rtl w:val="false"/>
        </w:rPr>
        <w:t xml:space="preserve">Pro koho je určen</w:t>
      </w:r>
    </w:p>
    <w:p>
      <w:pPr>
        <w:bidi w:val="false"/>
        <w:spacing w:after="12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Editoři</w:t>
      </w:r>
      <w:r>
        <w:rPr>
          <w:rFonts w:ascii="Noto Sans" w:cs="Noto Sans" w:eastAsia="Noto Sans" w:hAnsi="Noto Sans"/>
          <w:rtl w:val="false"/>
        </w:rPr>
        <w:t xml:space="preserve"> — Tvoří stránky, píší obsah a spravují přístupnost bez vývojáře a bez ručních auditů alternativních textů: předpřipravené typy obsahu, komponenty a režimy zobrazení, AI nástroje pro psaní a redakční přehledy.</w:t>
      </w:r>
    </w:p>
    <w:p>
      <w:pPr>
        <w:bidi w:val="false"/>
        <w:spacing w:after="12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Marketéři</w:t>
      </w:r>
      <w:r>
        <w:rPr>
          <w:rFonts w:ascii="Noto Sans" w:cs="Noto Sans" w:eastAsia="Noto Sans" w:hAnsi="Noto Sans"/>
          <w:rtl w:val="false"/>
        </w:rPr>
        <w:t xml:space="preserve"> — Personalizují, vedou kampaně a měří bez čekání na vývojáře: kampaňové stránky bez kódu, automatická personalizace přes Convivial Profiler a obsah vytvořený tak, aby jej našly vyhledávače i AI odpovědní systémy.</w:t>
      </w:r>
    </w:p>
    <w:p>
      <w:pPr>
        <w:bidi w:val="false"/>
        <w:spacing w:after="12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Vlastníci webu</w:t>
      </w:r>
      <w:r>
        <w:rPr>
          <w:rFonts w:ascii="Noto Sans" w:cs="Noto Sans" w:eastAsia="Noto Sans" w:hAnsi="Noto Sans"/>
          <w:rtl w:val="false"/>
        </w:rPr>
        <w:t xml:space="preserve"> — Snižují náklady, rizika a zátěž správy: zadávání přes panel, přístupnost a soulad s předpisy zabudované od prvního dne, vyhledávání a výkon podnikové úrovně a nástroje pro správu velkých distribuovaných týmů.</w:t>
      </w:r>
    </w:p>
    <w:p>
      <w:pPr>
        <w:pBdr>
          <w:bottom w:val="single" w:color="BBBBBB" w:sz="6" w:space="1"/>
        </w:pBdr>
        <w:spacing w:after="240" w:before="120"/>
      </w:pPr>
    </w:p>
    <w:p>
      <w:pPr>
        <w:pStyle w:val="Heading1"/>
        <w:bidi w:val="false"/>
        <w:jc w:val="left"/>
      </w:pPr>
      <w:r>
        <w:rPr>
          <w:rFonts w:ascii="Noto Sans" w:cs="Noto Sans" w:eastAsia="Noto Sans" w:hAnsi="Noto Sans"/>
          <w:rtl w:val="false"/>
        </w:rPr>
        <w:t xml:space="preserve">Zadávání a služby</w:t>
      </w:r>
    </w:p>
    <w:p>
      <w:pPr>
        <w:bidi w:val="false"/>
        <w:spacing w:after="120" w:line="276"/>
        <w:jc w:val="left"/>
      </w:pPr>
      <w:r>
        <w:rPr>
          <w:rFonts w:ascii="Noto Sans" w:cs="Noto Sans" w:eastAsia="Noto Sans" w:hAnsi="Noto Sans"/>
          <w:rtl w:val="false"/>
        </w:rPr>
        <w:t xml:space="preserve">Convivial for GovCMS dodává Morpht, schválený dodavatel v rámci GovCMS Drupal Services Panel (DSP). Oprávněné federální a státní úřady mohou implementaci, konfiguraci a podporu zadat přímo prostřednictvím panelu. Průběžné DXP služby dostupné v rámci téhož ujednání zahrnují personalizaci obsahu, Recommendations as a Service a rozšíření obsahu o AI, spolu s podporou UX, designu, obsahu a vývoje.</w:t>
      </w:r>
    </w:p>
    <w:p>
      <w:pPr>
        <w:bidi w:val="false"/>
        <w:spacing w:after="12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Web za jeden den:</w:t>
      </w:r>
      <w:r>
        <w:rPr>
          <w:rFonts w:ascii="Noto Sans" w:cs="Noto Sans" w:eastAsia="Noto Sans" w:hAnsi="Noto Sans"/>
          <w:rtl w:val="false"/>
        </w:rPr>
        <w:t xml:space="preserve"> úřady si mohou Convivial vyzkoušet ve spolupráci s Morpht na ukázkovém webu s funkcemi připravenými k použití.</w:t>
      </w:r>
    </w:p>
    <w:p>
      <w:pPr>
        <w:pBdr>
          <w:bottom w:val="single" w:color="BBBBBB" w:sz="6" w:space="1"/>
        </w:pBdr>
        <w:spacing w:after="240" w:before="120"/>
      </w:pPr>
    </w:p>
    <w:p>
      <w:pPr>
        <w:pStyle w:val="Heading1"/>
        <w:bidi w:val="false"/>
        <w:jc w:val="left"/>
      </w:pPr>
      <w:r>
        <w:rPr>
          <w:rFonts w:ascii="Noto Sans" w:cs="Noto Sans" w:eastAsia="Noto Sans" w:hAnsi="Noto Sans"/>
          <w:rtl w:val="false"/>
        </w:rPr>
        <w:t xml:space="preserve">Reference</w:t>
      </w:r>
    </w:p>
    <w:p>
      <w:pPr>
        <w:bidi w:val="false"/>
        <w:spacing w:after="120" w:line="276"/>
        <w:jc w:val="left"/>
      </w:pPr>
      <w:r>
        <w:rPr>
          <w:rFonts w:ascii="Noto Sans" w:cs="Noto Sans" w:eastAsia="Noto Sans" w:hAnsi="Noto Sans"/>
          <w:rtl w:val="false"/>
        </w:rPr>
        <w:t xml:space="preserve">Mezi weby vytvořené s Convivial for GovCMS patří: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National Office of Child Safety</w:t>
      </w:r>
      <w:r>
        <w:rPr>
          <w:rFonts w:ascii="Noto Sans" w:cs="Noto Sans" w:eastAsia="Noto Sans" w:hAnsi="Noto Sans"/>
          <w:rtl w:val="false"/>
        </w:rPr>
        <w:t xml:space="preserve"> — modernizace designu a informační architektury dodaná za tři týdny. Splash Awards 2024 Best in Show (Government–Federal); finalista Australian Access Awards 2025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Medical Device Single Audit Program</w:t>
      </w:r>
      <w:r>
        <w:rPr>
          <w:rFonts w:ascii="Noto Sans" w:cs="Noto Sans" w:eastAsia="Noto Sans" w:hAnsi="Noto Sans"/>
          <w:rtl w:val="false"/>
        </w:rPr>
        <w:t xml:space="preserve"> — globální identita značky a prohledávatelná knihovna dokumentů. Vítěz Splash Awards 2026 (Design/UX)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Reef Knowledge System (GBRMPA)</w:t>
      </w:r>
      <w:r>
        <w:rPr>
          <w:rFonts w:ascii="Noto Sans" w:cs="Noto Sans" w:eastAsia="Noto Sans" w:hAnsi="Noto Sans"/>
          <w:rtl w:val="false"/>
        </w:rPr>
        <w:t xml:space="preserve"> — tematická navigace a personalizovaná doporučení. Druhé místo Splash Awards 2026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Reef Guardian Schools (GBRMPA)</w:t>
      </w:r>
      <w:r>
        <w:rPr>
          <w:rFonts w:ascii="Noto Sans" w:cs="Noto Sans" w:eastAsia="Noto Sans" w:hAnsi="Noto Sans"/>
          <w:rtl w:val="false"/>
        </w:rPr>
        <w:t xml:space="preserve"> — bezpečná přestavba na SaaS s kurátorovanou knihovnou zdrojů. Druhé místo Splash Awards 2026 (Community Impact)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Attorney-General's Department</w:t>
      </w:r>
      <w:r>
        <w:rPr>
          <w:rFonts w:ascii="Noto Sans" w:cs="Noto Sans" w:eastAsia="Noto Sans" w:hAnsi="Noto Sans"/>
          <w:rtl w:val="false"/>
        </w:rPr>
        <w:t xml:space="preserve"> — více než 1 200 stránek a 6 000 publikací z pěti webů sloučeno do devíti prohledávatelných sekcí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Independent Parliamentary Expenses Authority</w:t>
      </w:r>
      <w:r>
        <w:rPr>
          <w:rFonts w:ascii="Noto Sans" w:cs="Noto Sans" w:eastAsia="Noto Sans" w:hAnsi="Noto Sans"/>
          <w:rtl w:val="false"/>
        </w:rPr>
        <w:t xml:space="preserve"> — samostatná správa více než 30 000 záznamů o výdajích s rychlejším vyhledáváním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Therapeutic Goods Administration</w:t>
      </w:r>
      <w:r>
        <w:rPr>
          <w:rFonts w:ascii="Noto Sans" w:cs="Noto Sans" w:eastAsia="Noto Sans" w:hAnsi="Noto Sans"/>
          <w:rtl w:val="false"/>
        </w:rPr>
        <w:t xml:space="preserve"> — 71 typů obsahu sloučeno do 49 na webu s 5,5 milionu návštěv měsíčně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NSW Food Authority</w:t>
      </w:r>
      <w:r>
        <w:rPr>
          <w:rFonts w:ascii="Noto Sans" w:cs="Noto Sans" w:eastAsia="Noto Sans" w:hAnsi="Noto Sans"/>
          <w:rtl w:val="false"/>
        </w:rPr>
        <w:t xml:space="preserve"> — migrace na GovCMS zvýšila návštěvnost o 9,7 % a čas na stránce o 44 %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Australian Immunisation Handbook Calculator</w:t>
      </w:r>
      <w:r>
        <w:rPr>
          <w:rFonts w:ascii="Noto Sans" w:cs="Noto Sans" w:eastAsia="Noto Sans" w:hAnsi="Noto Sans"/>
          <w:rtl w:val="false"/>
        </w:rPr>
        <w:t xml:space="preserve"> — individuální očkovací kalendáře generované ze složitých klinických pravidel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Australian Financial Security Authority / PPSR</w:t>
      </w:r>
      <w:r>
        <w:rPr>
          <w:rFonts w:ascii="Noto Sans" w:cs="Noto Sans" w:eastAsia="Noto Sans" w:hAnsi="Noto Sans"/>
          <w:rtl w:val="false"/>
        </w:rPr>
        <w:t xml:space="preserve"> — uvedení do souladu s WCAG 2.1 AA; ceny Innovation a Connecting with Community v GovCMS Community Awards 2025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Defence and Veterans' Service Commission</w:t>
      </w:r>
      <w:r>
        <w:rPr>
          <w:rFonts w:ascii="Noto Sans" w:cs="Noto Sans" w:eastAsia="Noto Sans" w:hAnsi="Noto Sans"/>
          <w:rtl w:val="false"/>
        </w:rPr>
        <w:t xml:space="preserve"> — web v souladu se standardy státní správy vytvořený za šest týdnů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Redfern Legal Centre</w:t>
      </w:r>
      <w:r>
        <w:rPr>
          <w:rFonts w:ascii="Noto Sans" w:cs="Noto Sans" w:eastAsia="Noto Sans" w:hAnsi="Noto Sans"/>
          <w:rtl w:val="false"/>
        </w:rPr>
        <w:t xml:space="preserve"> — pro bono přestavba pro lepší přístupnost a dohledatelnost</w:t>
      </w:r>
    </w:p>
    <w:p>
      <w:pPr>
        <w:pBdr>
          <w:bottom w:val="single" w:color="BBBBBB" w:sz="6" w:space="1"/>
        </w:pBdr>
        <w:spacing w:after="240" w:before="120"/>
      </w:pPr>
    </w:p>
    <w:p>
      <w:pPr>
        <w:pStyle w:val="Heading1"/>
        <w:bidi w:val="false"/>
        <w:jc w:val="left"/>
      </w:pPr>
      <w:r>
        <w:rPr>
          <w:rFonts w:ascii="Noto Sans" w:cs="Noto Sans" w:eastAsia="Noto Sans" w:hAnsi="Noto Sans"/>
          <w:rtl w:val="false"/>
        </w:rPr>
        <w:t xml:space="preserve">O společnosti Morpht</w:t>
      </w:r>
    </w:p>
    <w:p>
      <w:pPr>
        <w:bidi w:val="false"/>
        <w:spacing w:after="120" w:line="276"/>
        <w:jc w:val="left"/>
      </w:pPr>
      <w:r>
        <w:rPr>
          <w:rFonts w:ascii="Noto Sans" w:cs="Noto Sans" w:eastAsia="Noto Sans" w:hAnsi="Noto Sans"/>
          <w:rtl w:val="false"/>
        </w:rPr>
        <w:t xml:space="preserve">Morpht je vývojářská agentura specializovaná na Drupal, UX, GovCMS, personalizaci a integrace AI. Jako dlouholetý člen komunity GovCMS a přední dodavatel v rámci Drupal Services Panel vytvořil a spravuje weby pro AGD, DOH, DOF, TGA a mnoho dalších úřadů.</w:t>
      </w:r>
    </w:p>
    <w:p>
      <w:pPr>
        <w:bidi w:val="false"/>
        <w:spacing w:after="12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Kontakt:</w:t>
      </w:r>
      <w:r>
        <w:rPr>
          <w:rFonts w:ascii="Noto Sans" w:cs="Noto Sans" w:eastAsia="Noto Sans" w:hAnsi="Noto Sans"/>
          <w:rtl w:val="false"/>
        </w:rPr>
        <w:t xml:space="preserve"> </w:t>
      </w:r>
      <w:hyperlink w:history="1" r:id="rIdwthmzqh00f156newix3ez">
        <w:r>
          <w:rPr>
            <w:rStyle w:val="Hyperlink"/>
            <w:rFonts w:ascii="Noto Sans" w:cs="Noto Sans" w:eastAsia="Noto Sans" w:hAnsi="Noto Sans"/>
            <w:rtl w:val="false"/>
          </w:rPr>
          <w:t xml:space="preserve">https://www.morpht.com</w:t>
        </w:r>
      </w:hyperlink>
      <w:r>
        <w:rPr>
          <w:rFonts w:ascii="Noto Sans" w:cs="Noto Sans" w:eastAsia="Noto Sans" w:hAnsi="Noto Sans"/>
          <w:rtl w:val="false"/>
        </w:rPr>
        <w:t xml:space="preserve"> · </w:t>
      </w:r>
      <w:hyperlink w:history="1" r:id="rIdlnmnbhk30q6jx00v4cmw2">
        <w:r>
          <w:rPr>
            <w:rStyle w:val="Hyperlink"/>
            <w:rFonts w:ascii="Noto Sans" w:cs="Noto Sans" w:eastAsia="Noto Sans" w:hAnsi="Noto Sans"/>
            <w:rtl w:val="false"/>
          </w:rPr>
          <w:t xml:space="preserve">https://govcms.convivial.io/contact</w:t>
        </w:r>
      </w:hyperlink>
    </w:p>
    <w:p>
      <w:pPr>
        <w:bidi w:val="false"/>
        <w:spacing w:after="120" w:line="276"/>
        <w:jc w:val="left"/>
      </w:pPr>
      <w:r>
        <w:rPr>
          <w:rFonts w:ascii="Noto Sans" w:cs="Noto Sans" w:eastAsia="Noto Sans" w:hAnsi="Noto Sans"/>
          <w:i/>
          <w:iCs/>
          <w:rtl w:val="false"/>
        </w:rPr>
        <w:t xml:space="preserve">Convivial for GovCMS vytváří Morpht, poskytovatel služeb GovCMS Drupal, a není přidružen k projektu GovCMS.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7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Noto Sans" w:cs="Noto Sans" w:eastAsia="Noto Sans" w:hAnsi="Noto Sans"/>
        <w:sz w:val="20"/>
        <w:szCs w:val="20"/>
        <w:rtl w:val="false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pPr>
      <w:spacing w:after="200"/>
    </w:pPr>
    <w:rPr>
      <w:rFonts w:ascii="Noto Sans" w:cs="Noto Sans" w:eastAsia="Noto Sans" w:hAnsi="Noto Sans"/>
      <w:b/>
      <w:bCs/>
      <w:color w:val="1F4E79"/>
      <w:sz w:val="44"/>
      <w:szCs w:val="44"/>
    </w:rPr>
  </w:style>
  <w:style w:type="paragraph" w:styleId="Heading1">
    <w:name w:val="Heading 1"/>
    <w:basedOn w:val="Normal"/>
    <w:next w:val="Normal"/>
    <w:qFormat/>
    <w:pPr>
      <w:spacing w:after="140" w:before="320"/>
      <w:outlineLvl w:val="0"/>
    </w:pPr>
    <w:rPr>
      <w:rFonts w:ascii="Noto Sans" w:cs="Noto Sans" w:eastAsia="Noto Sans" w:hAnsi="Noto Sans"/>
      <w:b/>
      <w:bCs/>
      <w:color w:val="1F4E79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00" w:before="220"/>
      <w:outlineLvl w:val="1"/>
    </w:pPr>
    <w:rPr>
      <w:rFonts w:ascii="Noto Sans" w:cs="Noto Sans" w:eastAsia="Noto Sans" w:hAnsi="Noto Sans"/>
      <w:b/>
      <w:bCs/>
      <w:color w:val="333333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rymrzvxdzllrl7-uimnnt" Type="http://schemas.openxmlformats.org/officeDocument/2006/relationships/hyperlink" Target="https://govcms.convivial.io" TargetMode="External"/><Relationship Id="rIdwthmzqh00f156newix3ez" Type="http://schemas.openxmlformats.org/officeDocument/2006/relationships/hyperlink" Target="https://www.morpht.com" TargetMode="External"/><Relationship Id="rIdlnmnbhk30q6jx00v4cmw2" Type="http://schemas.openxmlformats.org/officeDocument/2006/relationships/hyperlink" Target="https://govcms.convivial.io/contact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Convivial for GovCMS — Factsheet</dc:title>
  <dc:creator>Morpht</dc:creator>
  <cp:lastModifiedBy>Un-named</cp:lastModifiedBy>
  <cp:revision>1</cp:revision>
  <dcterms:created xsi:type="dcterms:W3CDTF">2026-09-03T23:06:20.473Z</dcterms:created>
  <dcterms:modified xsi:type="dcterms:W3CDTF">2026-09-03T23:06:20.474Z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