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bidi/>
        <w:jc w:val="start"/>
      </w:pPr>
      <w:r>
        <w:rPr>
          <w:rFonts w:ascii="Noto Sans Arabic" w:cs="Noto Sans Arabic" w:eastAsia="Noto Sans Arabic" w:hAnsi="Noto Sans Arabic"/>
          <w:rtl/>
          <w:lang w:val="ar-SA" w:bidi="ar-SA"/>
        </w:rPr>
        <w:t xml:space="preserve">Convivial for GovCMS — نشرة تعريفية</w:t>
      </w:r>
    </w:p>
    <w:p>
      <w:pPr>
        <w:bidi/>
        <w:spacing w:after="120" w:line="276"/>
        <w:jc w:val="start"/>
      </w:pPr>
      <w:r>
        <w:rPr>
          <w:rFonts w:ascii="Noto Sans Arabic" w:cs="Noto Sans Arabic" w:eastAsia="Noto Sans Arabic" w:hAnsi="Noto Sans Arabic"/>
          <w:b/>
          <w:bCs/>
          <w:rtl/>
          <w:lang w:val="ar-SA" w:bidi="ar-SA"/>
        </w:rPr>
        <w:t xml:space="preserve">سهل الاستخدام للمحررين. جاهز للتخصيص. مصمم للحكومة الأسترالية.</w:t>
      </w:r>
    </w:p>
    <w:p>
      <w:pPr>
        <w:bidi/>
        <w:spacing w:after="120" w:line="276"/>
        <w:jc w:val="start"/>
      </w:pPr>
      <w:r>
        <w:rPr>
          <w:rFonts w:ascii="Noto Sans Arabic" w:cs="Noto Sans Arabic" w:eastAsia="Noto Sans Arabic" w:hAnsi="Noto Sans Arabic"/>
          <w:rtl/>
          <w:lang w:val="ar-SA" w:bidi="ar-SA"/>
        </w:rPr>
        <w:t xml:space="preserve">Convivial for GovCMS هو موقع بداية متقدم لمنصة GovCMS SaaS، طورته شركة Morpht. يوسّع قالب GovCMS Starter القياسي بنموذج محتوى كامل، ومكتبة مكوّنات، وتخصيص المظهر دون برمجة، وبحث بمستوى المؤسسات، وتخصيص المحتوى، وأدوات الذكاء الاصطناعي — بحيث تتمكن الجهات الحكومية من إطلاق مواقع متوافقة مع أفضل الممارسات وسهلة الوصول بسرعة، وتوجيه ميزانيتها نحو هدف الموقع بدلاً من بنيته التحتية.</w:t>
      </w:r>
    </w:p>
    <w:tbl>
      <w:tblPr>
        <w:bidiVisual/>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shd w:fill="EAF0F7" w:color="auto" w:val="clear"/>
            <w:tcMar>
              <w:top w:type="dxa" w:w="80"/>
              <w:left w:type="dxa" w:w="120"/>
              <w:bottom w:type="dxa" w:w="80"/>
              <w:right w:type="dxa" w:w="120"/>
            </w:tcMar>
          </w:tcPr>
          <w:p>
            <w:pPr>
              <w:bidi/>
              <w:spacing w:after="0"/>
              <w:jc w:val="start"/>
            </w:pPr>
            <w:r>
              <w:rPr>
                <w:rFonts w:ascii="Noto Sans Arabic" w:cs="Noto Sans Arabic" w:eastAsia="Noto Sans Arabic" w:hAnsi="Noto Sans Arabic"/>
                <w:b/>
                <w:bCs/>
                <w:rtl/>
                <w:lang w:val="ar-SA" w:bidi="ar-SA"/>
              </w:rPr>
              <w:t xml:space="preserve">المنتج</w:t>
            </w:r>
          </w:p>
        </w:tc>
        <w:tc>
          <w:tcPr>
            <w:tcW w:type="dxa" w:w="7160"/>
            <w:tcMar>
              <w:top w:type="dxa" w:w="80"/>
              <w:left w:type="dxa" w:w="120"/>
              <w:bottom w:type="dxa" w:w="80"/>
              <w:right w:type="dxa" w:w="120"/>
            </w:tcMar>
          </w:tcPr>
          <w:p>
            <w:pPr>
              <w:bidi/>
              <w:spacing w:after="0"/>
              <w:jc w:val="start"/>
            </w:pPr>
            <w:r>
              <w:rPr>
                <w:rFonts w:ascii="Noto Sans Arabic" w:cs="Noto Sans Arabic" w:eastAsia="Noto Sans Arabic" w:hAnsi="Noto Sans Arabic"/>
                <w:rtl/>
                <w:lang w:val="ar-SA" w:bidi="ar-SA"/>
              </w:rPr>
              <w:t xml:space="preserve">Convivial for GovCMS (موقع بداية / قالب)</w:t>
            </w:r>
          </w:p>
        </w:tc>
      </w:tr>
      <w:tr>
        <w:tc>
          <w:tcPr>
            <w:tcW w:type="dxa" w:w="2200"/>
            <w:shd w:fill="EAF0F7" w:color="auto" w:val="clear"/>
            <w:tcMar>
              <w:top w:type="dxa" w:w="80"/>
              <w:left w:type="dxa" w:w="120"/>
              <w:bottom w:type="dxa" w:w="80"/>
              <w:right w:type="dxa" w:w="120"/>
            </w:tcMar>
          </w:tcPr>
          <w:p>
            <w:pPr>
              <w:bidi/>
              <w:spacing w:after="0"/>
              <w:jc w:val="start"/>
            </w:pPr>
            <w:r>
              <w:rPr>
                <w:rFonts w:ascii="Noto Sans Arabic" w:cs="Noto Sans Arabic" w:eastAsia="Noto Sans Arabic" w:hAnsi="Noto Sans Arabic"/>
                <w:b/>
                <w:bCs/>
                <w:rtl/>
                <w:lang w:val="ar-SA" w:bidi="ar-SA"/>
              </w:rPr>
              <w:t xml:space="preserve">المنصة</w:t>
            </w:r>
          </w:p>
        </w:tc>
        <w:tc>
          <w:tcPr>
            <w:tcW w:type="dxa" w:w="7160"/>
            <w:tcMar>
              <w:top w:type="dxa" w:w="80"/>
              <w:left w:type="dxa" w:w="120"/>
              <w:bottom w:type="dxa" w:w="80"/>
              <w:right w:type="dxa" w:w="120"/>
            </w:tcMar>
          </w:tcPr>
          <w:p>
            <w:pPr>
              <w:bidi/>
              <w:spacing w:after="0"/>
              <w:jc w:val="start"/>
            </w:pPr>
            <w:r>
              <w:rPr>
                <w:rFonts w:ascii="Noto Sans Arabic" w:cs="Noto Sans Arabic" w:eastAsia="Noto Sans Arabic" w:hAnsi="Noto Sans Arabic"/>
                <w:rtl/>
                <w:lang w:val="ar-SA" w:bidi="ar-SA"/>
              </w:rPr>
              <w:t xml:space="preserve">GovCMS SaaS (Drupal 11)</w:t>
            </w:r>
          </w:p>
        </w:tc>
      </w:tr>
      <w:tr>
        <w:tc>
          <w:tcPr>
            <w:tcW w:type="dxa" w:w="2200"/>
            <w:shd w:fill="EAF0F7" w:color="auto" w:val="clear"/>
            <w:tcMar>
              <w:top w:type="dxa" w:w="80"/>
              <w:left w:type="dxa" w:w="120"/>
              <w:bottom w:type="dxa" w:w="80"/>
              <w:right w:type="dxa" w:w="120"/>
            </w:tcMar>
          </w:tcPr>
          <w:p>
            <w:pPr>
              <w:bidi/>
              <w:spacing w:after="0"/>
              <w:jc w:val="start"/>
            </w:pPr>
            <w:r>
              <w:rPr>
                <w:rFonts w:ascii="Noto Sans Arabic" w:cs="Noto Sans Arabic" w:eastAsia="Noto Sans Arabic" w:hAnsi="Noto Sans Arabic"/>
                <w:b/>
                <w:bCs/>
                <w:rtl/>
                <w:lang w:val="ar-SA" w:bidi="ar-SA"/>
              </w:rPr>
              <w:t xml:space="preserve">الواجهة الأمامية</w:t>
            </w:r>
          </w:p>
        </w:tc>
        <w:tc>
          <w:tcPr>
            <w:tcW w:type="dxa" w:w="7160"/>
            <w:tcMar>
              <w:top w:type="dxa" w:w="80"/>
              <w:left w:type="dxa" w:w="120"/>
              <w:bottom w:type="dxa" w:w="80"/>
              <w:right w:type="dxa" w:w="120"/>
            </w:tcMar>
          </w:tcPr>
          <w:p>
            <w:pPr>
              <w:bidi/>
              <w:spacing w:after="0"/>
              <w:jc w:val="start"/>
            </w:pPr>
            <w:r>
              <w:rPr>
                <w:rFonts w:ascii="Noto Sans Arabic" w:cs="Noto Sans Arabic" w:eastAsia="Noto Sans Arabic" w:hAnsi="Noto Sans Arabic"/>
                <w:rtl/>
                <w:lang w:val="ar-SA" w:bidi="ar-SA"/>
              </w:rPr>
              <w:t xml:space="preserve">Tailwind CSS + DaisyUI، ومكوّنات الدليل الواحد (SDC)</w:t>
            </w:r>
          </w:p>
        </w:tc>
      </w:tr>
      <w:tr>
        <w:tc>
          <w:tcPr>
            <w:tcW w:type="dxa" w:w="2200"/>
            <w:shd w:fill="EAF0F7" w:color="auto" w:val="clear"/>
            <w:tcMar>
              <w:top w:type="dxa" w:w="80"/>
              <w:left w:type="dxa" w:w="120"/>
              <w:bottom w:type="dxa" w:w="80"/>
              <w:right w:type="dxa" w:w="120"/>
            </w:tcMar>
          </w:tcPr>
          <w:p>
            <w:pPr>
              <w:bidi/>
              <w:spacing w:after="0"/>
              <w:jc w:val="start"/>
            </w:pPr>
            <w:r>
              <w:rPr>
                <w:rFonts w:ascii="Noto Sans Arabic" w:cs="Noto Sans Arabic" w:eastAsia="Noto Sans Arabic" w:hAnsi="Noto Sans Arabic"/>
                <w:b/>
                <w:bCs/>
                <w:rtl/>
                <w:lang w:val="ar-SA" w:bidi="ar-SA"/>
              </w:rPr>
              <w:t xml:space="preserve">لوحة الإدارة</w:t>
            </w:r>
          </w:p>
        </w:tc>
        <w:tc>
          <w:tcPr>
            <w:tcW w:type="dxa" w:w="7160"/>
            <w:tcMar>
              <w:top w:type="dxa" w:w="80"/>
              <w:left w:type="dxa" w:w="120"/>
              <w:bottom w:type="dxa" w:w="80"/>
              <w:right w:type="dxa" w:w="120"/>
            </w:tcMar>
          </w:tcPr>
          <w:p>
            <w:pPr>
              <w:bidi/>
              <w:spacing w:after="0"/>
              <w:jc w:val="start"/>
            </w:pPr>
            <w:r>
              <w:rPr>
                <w:rFonts w:ascii="Noto Sans Arabic" w:cs="Noto Sans Arabic" w:eastAsia="Noto Sans Arabic" w:hAnsi="Noto Sans Arabic"/>
                <w:rtl/>
                <w:lang w:val="ar-SA" w:bidi="ar-SA"/>
              </w:rPr>
              <w:t xml:space="preserve">قالب إدارة Gin، وشاشات تحرير وتسجيل دخول محسّنة</w:t>
            </w:r>
          </w:p>
        </w:tc>
      </w:tr>
      <w:tr>
        <w:tc>
          <w:tcPr>
            <w:tcW w:type="dxa" w:w="2200"/>
            <w:shd w:fill="EAF0F7" w:color="auto" w:val="clear"/>
            <w:tcMar>
              <w:top w:type="dxa" w:w="80"/>
              <w:left w:type="dxa" w:w="120"/>
              <w:bottom w:type="dxa" w:w="80"/>
              <w:right w:type="dxa" w:w="120"/>
            </w:tcMar>
          </w:tcPr>
          <w:p>
            <w:pPr>
              <w:bidi/>
              <w:spacing w:after="0"/>
              <w:jc w:val="start"/>
            </w:pPr>
            <w:r>
              <w:rPr>
                <w:rFonts w:ascii="Noto Sans Arabic" w:cs="Noto Sans Arabic" w:eastAsia="Noto Sans Arabic" w:hAnsi="Noto Sans Arabic"/>
                <w:b/>
                <w:bCs/>
                <w:rtl/>
                <w:lang w:val="ar-SA" w:bidi="ar-SA"/>
              </w:rPr>
              <w:t xml:space="preserve">المورّد</w:t>
            </w:r>
          </w:p>
        </w:tc>
        <w:tc>
          <w:tcPr>
            <w:tcW w:type="dxa" w:w="7160"/>
            <w:tcMar>
              <w:top w:type="dxa" w:w="80"/>
              <w:left w:type="dxa" w:w="120"/>
              <w:bottom w:type="dxa" w:w="80"/>
              <w:right w:type="dxa" w:w="120"/>
            </w:tcMar>
          </w:tcPr>
          <w:p>
            <w:pPr>
              <w:bidi/>
              <w:spacing w:after="0"/>
              <w:jc w:val="start"/>
            </w:pPr>
            <w:r>
              <w:rPr>
                <w:rFonts w:ascii="Noto Sans Arabic" w:cs="Noto Sans Arabic" w:eastAsia="Noto Sans Arabic" w:hAnsi="Noto Sans Arabic"/>
                <w:rtl/>
                <w:lang w:val="ar-SA" w:bidi="ar-SA"/>
              </w:rPr>
              <w:t xml:space="preserve">Morpht — مورّد معتمد في GovCMS Drupal Services Panel</w:t>
            </w:r>
          </w:p>
        </w:tc>
      </w:tr>
      <w:tr>
        <w:tc>
          <w:tcPr>
            <w:tcW w:type="dxa" w:w="2200"/>
            <w:shd w:fill="EAF0F7" w:color="auto" w:val="clear"/>
            <w:tcMar>
              <w:top w:type="dxa" w:w="80"/>
              <w:left w:type="dxa" w:w="120"/>
              <w:bottom w:type="dxa" w:w="80"/>
              <w:right w:type="dxa" w:w="120"/>
            </w:tcMar>
          </w:tcPr>
          <w:p>
            <w:pPr>
              <w:bidi/>
              <w:spacing w:after="0"/>
              <w:jc w:val="start"/>
            </w:pPr>
            <w:r>
              <w:rPr>
                <w:rFonts w:ascii="Noto Sans Arabic" w:cs="Noto Sans Arabic" w:eastAsia="Noto Sans Arabic" w:hAnsi="Noto Sans Arabic"/>
                <w:b/>
                <w:bCs/>
                <w:rtl/>
                <w:lang w:val="ar-SA" w:bidi="ar-SA"/>
              </w:rPr>
              <w:t xml:space="preserve">الأصل</w:t>
            </w:r>
          </w:p>
        </w:tc>
        <w:tc>
          <w:tcPr>
            <w:tcW w:type="dxa" w:w="7160"/>
            <w:tcMar>
              <w:top w:type="dxa" w:w="80"/>
              <w:left w:type="dxa" w:w="120"/>
              <w:bottom w:type="dxa" w:w="80"/>
              <w:right w:type="dxa" w:w="120"/>
            </w:tcMar>
          </w:tcPr>
          <w:p>
            <w:pPr>
              <w:bidi/>
              <w:spacing w:after="0"/>
              <w:jc w:val="start"/>
            </w:pPr>
            <w:r>
              <w:rPr>
                <w:rFonts w:ascii="Noto Sans Arabic" w:cs="Noto Sans Arabic" w:eastAsia="Noto Sans Arabic" w:hAnsi="Noto Sans Arabic"/>
                <w:rtl/>
                <w:lang w:val="ar-SA" w:bidi="ar-SA"/>
              </w:rPr>
              <w:t xml:space="preserve">يشترك في الأساس نفسه مع Convivial Gov المتاح على Drupal Marketplace</w:t>
            </w:r>
          </w:p>
        </w:tc>
      </w:tr>
      <w:tr>
        <w:tc>
          <w:tcPr>
            <w:tcW w:type="dxa" w:w="2200"/>
            <w:shd w:fill="EAF0F7" w:color="auto" w:val="clear"/>
            <w:tcMar>
              <w:top w:type="dxa" w:w="80"/>
              <w:left w:type="dxa" w:w="120"/>
              <w:bottom w:type="dxa" w:w="80"/>
              <w:right w:type="dxa" w:w="120"/>
            </w:tcMar>
          </w:tcPr>
          <w:p>
            <w:pPr>
              <w:bidi/>
              <w:spacing w:after="0"/>
              <w:jc w:val="start"/>
            </w:pPr>
            <w:r>
              <w:rPr>
                <w:rFonts w:ascii="Noto Sans Arabic" w:cs="Noto Sans Arabic" w:eastAsia="Noto Sans Arabic" w:hAnsi="Noto Sans Arabic"/>
                <w:b/>
                <w:bCs/>
                <w:rtl/>
                <w:lang w:val="ar-SA" w:bidi="ar-SA"/>
              </w:rPr>
              <w:t xml:space="preserve">الموقع الإلكتروني</w:t>
            </w:r>
          </w:p>
        </w:tc>
        <w:tc>
          <w:tcPr>
            <w:tcW w:type="dxa" w:w="7160"/>
            <w:tcMar>
              <w:top w:type="dxa" w:w="80"/>
              <w:left w:type="dxa" w:w="120"/>
              <w:bottom w:type="dxa" w:w="80"/>
              <w:right w:type="dxa" w:w="120"/>
            </w:tcMar>
          </w:tcPr>
          <w:p>
            <w:pPr>
              <w:bidi/>
              <w:spacing w:after="0"/>
              <w:jc w:val="start"/>
            </w:pPr>
            <w:hyperlink w:history="1" r:id="rIdvduwwiksqjs5gyjkf4zfr">
              <w:r>
                <w:rPr>
                  <w:rStyle w:val="Hyperlink"/>
                  <w:rFonts w:ascii="Noto Sans Arabic" w:cs="Noto Sans Arabic" w:eastAsia="Noto Sans Arabic" w:hAnsi="Noto Sans Arabic"/>
                  <w:rtl/>
                </w:rPr>
                <w:t xml:space="preserve">https://govcms.convivial.io</w:t>
              </w:r>
            </w:hyperlink>
          </w:p>
        </w:tc>
      </w:tr>
    </w:tbl>
    <w:p>
      <w:pPr>
        <w:spacing w:after="120"/>
      </w:pPr>
    </w:p>
    <w:p>
      <w:pPr>
        <w:pBdr>
          <w:bottom w:val="single" w:color="BBBBBB" w:sz="6" w:space="1"/>
        </w:pBdr>
        <w:spacing w:after="240" w:before="120"/>
      </w:pPr>
    </w:p>
    <w:p>
      <w:pPr>
        <w:pStyle w:val="Heading1"/>
        <w:bidi/>
        <w:jc w:val="start"/>
      </w:pPr>
      <w:r>
        <w:rPr>
          <w:rFonts w:ascii="Noto Sans Arabic" w:cs="Noto Sans Arabic" w:eastAsia="Noto Sans Arabic" w:hAnsi="Noto Sans Arabic"/>
          <w:rtl/>
          <w:lang w:val="ar-SA" w:bidi="ar-SA"/>
        </w:rPr>
        <w:t xml:space="preserve">لماذا Convivial</w:t>
      </w:r>
    </w:p>
    <w:p>
      <w:pPr>
        <w:bidi/>
        <w:spacing w:after="120" w:line="276"/>
        <w:jc w:val="start"/>
      </w:pPr>
      <w:r>
        <w:rPr>
          <w:rFonts w:ascii="Noto Sans Arabic" w:cs="Noto Sans Arabic" w:eastAsia="Noto Sans Arabic" w:hAnsi="Noto Sans Arabic"/>
          <w:rtl/>
          <w:lang w:val="ar-SA" w:bidi="ar-SA"/>
        </w:rPr>
        <w:t xml:space="preserve">يتطلب مشروع GovCMS النموذجي تكليف جهة ببناء قالب ومكتبة مكوّنات ونموذج محتوى وإجراء مراجعة لسهولة الوصول قبل بدء أي عمل على المحتوى. يأتي Convivial مزوداً بهذه العناصر الأربعة جاهزة، محتوياً على آلاف الساعات من خبرة Morpht، بحيث يتركز التطوير على ما يميز كل موقع.</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سرعة الإطلاق</w:t>
      </w:r>
      <w:r>
        <w:rPr>
          <w:rFonts w:ascii="Noto Sans Arabic" w:cs="Noto Sans Arabic" w:eastAsia="Noto Sans Arabic" w:hAnsi="Noto Sans Arabic"/>
          <w:rtl/>
          <w:lang w:val="ar-SA" w:bidi="ar-SA"/>
        </w:rPr>
        <w:t xml:space="preserve"> — بناء الصفحات دون برمجة، وعرض تجريبي «ابنِ موقعاً في يوم واحد»، وصفحات حملات تُطلق قبل الموعد النهائي.</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متوافق افتراضياً</w:t>
      </w:r>
      <w:r>
        <w:rPr>
          <w:rFonts w:ascii="Noto Sans Arabic" w:cs="Noto Sans Arabic" w:eastAsia="Noto Sans Arabic" w:hAnsi="Noto Sans Arabic"/>
          <w:rtl/>
          <w:lang w:val="ar-SA" w:bidi="ar-SA"/>
        </w:rPr>
        <w:t xml:space="preserve"> — التوافق مع WCAG AA، وإمكانية التنقل بلوحة المفاتيح، واستهداف درجة 100 في Lighthouse لسهولة الوصول وتحسين محركات البحث في كل صفحة.</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شراء بأقل تعقيد</w:t>
      </w:r>
      <w:r>
        <w:rPr>
          <w:rFonts w:ascii="Noto Sans Arabic" w:cs="Noto Sans Arabic" w:eastAsia="Noto Sans Arabic" w:hAnsi="Noto Sans Arabic"/>
          <w:rtl/>
          <w:lang w:val="ar-SA" w:bidi="ar-SA"/>
        </w:rPr>
        <w:t xml:space="preserve"> — التعاقد مباشرة مع Morpht عبر GovCMS Drupal Services Panel بدلاً من طرح مناقصة مفتوحة.</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سهولة الحوكمة</w:t>
      </w:r>
      <w:r>
        <w:rPr>
          <w:rFonts w:ascii="Noto Sans Arabic" w:cs="Noto Sans Arabic" w:eastAsia="Noto Sans Arabic" w:hAnsi="Noto Sans Arabic"/>
          <w:rtl/>
          <w:lang w:val="ar-SA" w:bidi="ar-SA"/>
        </w:rPr>
        <w:t xml:space="preserve"> — لوحات تحكم تحريرية، وملكية المحتوى حسب الوحدة التنظيمية، ومراجعات مجدولة تحافظ على دقة المواقع الكبيرة مع مرور الوقت.</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تخصيص متوافق مع الخصوصية</w:t>
      </w:r>
      <w:r>
        <w:rPr>
          <w:rFonts w:ascii="Noto Sans Arabic" w:cs="Noto Sans Arabic" w:eastAsia="Noto Sans Arabic" w:hAnsi="Noto Sans Arabic"/>
          <w:rtl/>
          <w:lang w:val="ar-SA" w:bidi="ar-SA"/>
        </w:rPr>
        <w:t xml:space="preserve"> — يعمل التنميط بالكامل في متصفح الزائر؛ لا تُجمع بيانات شخصية، ولا تتبع من أطراف خارجية، ولا حاجة لشراء منصة بيانات عملاء أو منصة تسويق منفصلة.</w:t>
      </w:r>
    </w:p>
    <w:p>
      <w:pPr>
        <w:pBdr>
          <w:bottom w:val="single" w:color="BBBBBB" w:sz="6" w:space="1"/>
        </w:pBdr>
        <w:spacing w:after="240" w:before="120"/>
      </w:pPr>
    </w:p>
    <w:p>
      <w:pPr>
        <w:pStyle w:val="Heading1"/>
        <w:bidi/>
        <w:jc w:val="start"/>
      </w:pPr>
      <w:r>
        <w:rPr>
          <w:rFonts w:ascii="Noto Sans Arabic" w:cs="Noto Sans Arabic" w:eastAsia="Noto Sans Arabic" w:hAnsi="Noto Sans Arabic"/>
          <w:rtl/>
          <w:lang w:val="ar-SA" w:bidi="ar-SA"/>
        </w:rPr>
        <w:t xml:space="preserve">القدرات الرئيسية</w:t>
      </w:r>
    </w:p>
    <w:p>
      <w:pPr>
        <w:pStyle w:val="Heading2"/>
        <w:bidi/>
        <w:jc w:val="start"/>
      </w:pPr>
      <w:r>
        <w:rPr>
          <w:rFonts w:ascii="Noto Sans Arabic" w:cs="Noto Sans Arabic" w:eastAsia="Noto Sans Arabic" w:hAnsi="Noto Sans Arabic"/>
          <w:rtl/>
          <w:lang w:val="ar-SA" w:bidi="ar-SA"/>
        </w:rPr>
        <w:t xml:space="preserve">سهولة الوصول والشمولية</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التوافق مع WCAG 2.2 AA؛ واستهداف درجة 100 لسهولة الوصول في Lighthouse في كل صفحة</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إمكانية التنقل بلوحة المفاتيح، مع روابط «الانتقال إلى المحتوى» و«تخطي التنقل» وقائمة ضخمة</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تسلسل هرمي متسق للعناوين وترتيب منطقي للمحتوى</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نصوص مكتوبة للفيديو والصور والصوت؛ ومعالجة صحيحة للصور الزخرفية</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جدول محتويات ديناميكي ثابت للصفحات الطويلة؛ ورابط العودة إلى الأعلى</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أداة فحص التباين مدمجة عند إعداد لوحات الألوان</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أنماط CSS للطباعة، وخيار «طباعة واستماع» (ReadSpeaker) في كل صفحة</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مبدّل الوضع الداكن، ومبدّل اللغة (ترجمة Google)، ودعم اللغات من اليمين إلى اليسار، واحترام تفضيل تقليل الحركة</w:t>
      </w:r>
    </w:p>
    <w:p>
      <w:pPr>
        <w:pStyle w:val="Heading2"/>
        <w:bidi/>
        <w:jc w:val="start"/>
      </w:pPr>
      <w:r>
        <w:rPr>
          <w:rFonts w:ascii="Noto Sans Arabic" w:cs="Noto Sans Arabic" w:eastAsia="Noto Sans Arabic" w:hAnsi="Noto Sans Arabic"/>
          <w:rtl/>
          <w:lang w:val="ar-SA" w:bidi="ar-SA"/>
        </w:rPr>
        <w:t xml:space="preserve">التصميم والمظهر (دون برمجة)</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واجهة إعدادات مظهر مرنة تتحكم بمتغيرات CSS عبر الموقع بالكامل — تلغي إلى حد كبير الحاجة إلى مصمم قوالب</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لوحات ألوان، ومخططات ألوان (فاتح/داكن)، وأغلفة للحملات وأقسام الموقع</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لوحات ألوان افتراضية على مستوى المناطق، وإعدادات الزوايا والتأثيرات، وطبقات الخلفية والأنسجة</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القائمة الرئيسية بصيغة بسيطة أو منسدلة أو ضخمة؛ وتنقل جانبي مع إبراز المسار النشط</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شريط علوي قابل للتخصيص بلوحات ألوان وأنسجة وخلفيات وصور ومسارات قص</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مكوّن تذييل شامل؛ وأيقونات الموقع مُعدّة عبر العلامات الوصفية دون تصميم قوالب</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أيقونات Phosphor عبر واجهة الأيقونات في Drupal 11</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عناصر Form وWebform منسّقة</w:t>
      </w:r>
    </w:p>
    <w:p>
      <w:pPr>
        <w:pStyle w:val="Heading2"/>
        <w:bidi/>
        <w:jc w:val="start"/>
      </w:pPr>
      <w:r>
        <w:rPr>
          <w:rFonts w:ascii="Noto Sans Arabic" w:cs="Noto Sans Arabic" w:eastAsia="Noto Sans Arabic" w:hAnsi="Noto Sans Arabic"/>
          <w:rtl/>
          <w:lang w:val="ar-SA" w:bidi="ar-SA"/>
        </w:rPr>
        <w:t xml:space="preserve">هندسة المعلومات ونموذج المحتوى</w:t>
      </w:r>
    </w:p>
    <w:p>
      <w:pPr>
        <w:bidi/>
        <w:spacing w:after="120" w:line="276"/>
        <w:jc w:val="start"/>
      </w:pPr>
      <w:r>
        <w:rPr>
          <w:rFonts w:ascii="Noto Sans Arabic" w:cs="Noto Sans Arabic" w:eastAsia="Noto Sans Arabic" w:hAnsi="Noto Sans Arabic"/>
          <w:b/>
          <w:bCs/>
          <w:rtl/>
          <w:lang w:val="ar-SA" w:bidi="ar-SA"/>
        </w:rPr>
        <w:t xml:space="preserve">أنواع المحتوى:</w:t>
      </w:r>
      <w:r>
        <w:rPr>
          <w:rFonts w:ascii="Noto Sans Arabic" w:cs="Noto Sans Arabic" w:eastAsia="Noto Sans Arabic" w:hAnsi="Noto Sans Arabic"/>
          <w:rtl/>
          <w:lang w:val="ar-SA" w:bidi="ar-SA"/>
        </w:rPr>
        <w:t xml:space="preserve"> Page، Section (صفحات الهبوط)، Collection (القوائم)، Article، Article Type، Resource، Event، Person، Topic، Audience، FOI Disclosure، Alert</w:t>
      </w:r>
    </w:p>
    <w:p>
      <w:pPr>
        <w:bidi/>
        <w:spacing w:after="120" w:line="276"/>
        <w:jc w:val="start"/>
      </w:pPr>
      <w:r>
        <w:rPr>
          <w:rFonts w:ascii="Noto Sans Arabic" w:cs="Noto Sans Arabic" w:eastAsia="Noto Sans Arabic" w:hAnsi="Noto Sans Arabic"/>
          <w:b/>
          <w:bCs/>
          <w:rtl/>
          <w:lang w:val="ar-SA" w:bidi="ar-SA"/>
        </w:rPr>
        <w:t xml:space="preserve">المفردات:</w:t>
      </w:r>
      <w:r>
        <w:rPr>
          <w:rFonts w:ascii="Noto Sans Arabic" w:cs="Noto Sans Arabic" w:eastAsia="Noto Sans Arabic" w:hAnsi="Noto Sans Arabic"/>
          <w:rtl/>
          <w:lang w:val="ar-SA" w:bidi="ar-SA"/>
        </w:rPr>
        <w:t xml:space="preserve"> Event Type، Resource Type، Promotion Type، Media Tags، Unit (ملكية الوحدة التنظيمية)، وGoal / Intent / Stage لإثراء الملف الشخصي</w:t>
      </w:r>
    </w:p>
    <w:p>
      <w:pPr>
        <w:bidi/>
        <w:spacing w:after="120" w:line="276"/>
        <w:jc w:val="start"/>
      </w:pPr>
      <w:r>
        <w:rPr>
          <w:rFonts w:ascii="Noto Sans Arabic" w:cs="Noto Sans Arabic" w:eastAsia="Noto Sans Arabic" w:hAnsi="Noto Sans Arabic"/>
          <w:b/>
          <w:bCs/>
          <w:rtl/>
          <w:lang w:val="ar-SA" w:bidi="ar-SA"/>
        </w:rPr>
        <w:t xml:space="preserve">أوضاع العرض:</w:t>
      </w:r>
      <w:r>
        <w:rPr>
          <w:rFonts w:ascii="Noto Sans Arabic" w:cs="Noto Sans Arabic" w:eastAsia="Noto Sans Arabic" w:hAnsi="Noto Sans Arabic"/>
          <w:rtl/>
          <w:lang w:val="ar-SA" w:bidi="ar-SA"/>
        </w:rPr>
        <w:t xml:space="preserve"> مقتطفات صغيرة ومتوسطة وكبيرة؛ بطاقة بصورة؛ بطاقة أساسية؛ ملخص؛ بحث؛ عنوان</w:t>
      </w:r>
    </w:p>
    <w:p>
      <w:pPr>
        <w:bidi/>
        <w:spacing w:after="120" w:line="276"/>
        <w:jc w:val="start"/>
      </w:pPr>
      <w:r>
        <w:rPr>
          <w:rFonts w:ascii="Noto Sans Arabic" w:cs="Noto Sans Arabic" w:eastAsia="Noto Sans Arabic" w:hAnsi="Noto Sans Arabic"/>
          <w:b/>
          <w:bCs/>
          <w:rtl/>
          <w:lang w:val="ar-SA" w:bidi="ar-SA"/>
        </w:rPr>
        <w:t xml:space="preserve">أنواع الوسائط:</w:t>
      </w:r>
      <w:r>
        <w:rPr>
          <w:rFonts w:ascii="Noto Sans Arabic" w:cs="Noto Sans Arabic" w:eastAsia="Noto Sans Arabic" w:hAnsi="Noto Sans Arabic"/>
          <w:rtl/>
          <w:lang w:val="ar-SA" w:bidi="ar-SA"/>
        </w:rPr>
        <w:t xml:space="preserve"> صورة، ملف، صوت، فيديو، فيديو خارجي (YouTube/Vimeo)، نموذج ثلاثي الأبعاد (</w:t>
      </w:r>
      <w:r>
        <w:rPr>
          <w:rFonts w:ascii="Noto Sans" w:cs="Noto Sans Arabic" w:eastAsia="Noto Sans Arabic" w:hAnsi="Noto Sans"/>
          <w:rtl/>
          <w:lang w:val="ar-SA" w:bidi="ar-SA"/>
        </w:rPr>
        <w:t xml:space="preserve">&lt;model-viewer&gt;</w:t>
      </w:r>
      <w:r>
        <w:rPr>
          <w:rFonts w:ascii="Noto Sans Arabic" w:cs="Noto Sans Arabic" w:eastAsia="Noto Sans Arabic" w:hAnsi="Noto Sans Arabic"/>
          <w:rtl/>
          <w:lang w:val="ar-SA" w:bidi="ar-SA"/>
        </w:rPr>
        <w:t xml:space="preserve">)، خط (WOFF)</w:t>
      </w:r>
    </w:p>
    <w:p>
      <w:pPr>
        <w:pStyle w:val="Heading2"/>
        <w:bidi/>
        <w:jc w:val="start"/>
      </w:pPr>
      <w:r>
        <w:rPr>
          <w:rFonts w:ascii="Noto Sans Arabic" w:cs="Noto Sans Arabic" w:eastAsia="Noto Sans Arabic" w:hAnsi="Noto Sans Arabic"/>
          <w:rtl/>
          <w:lang w:val="ar-SA" w:bidi="ar-SA"/>
        </w:rPr>
        <w:t xml:space="preserve">المكوّنات وبناء الصفحات</w:t>
      </w:r>
    </w:p>
    <w:p>
      <w:pPr>
        <w:bidi/>
        <w:spacing w:after="120" w:line="276"/>
        <w:jc w:val="start"/>
      </w:pPr>
      <w:r>
        <w:rPr>
          <w:rFonts w:ascii="Noto Sans Arabic" w:cs="Noto Sans Arabic" w:eastAsia="Noto Sans Arabic" w:hAnsi="Noto Sans Arabic"/>
          <w:rtl/>
          <w:lang w:val="ar-SA" w:bidi="ar-SA"/>
        </w:rPr>
        <w:t xml:space="preserve">يجمّع المحررون الصفحات من مكتبة مكوّنات الدليل الواحد مع خيارات غنية لكل مكوّن — دون الحاجة إلى مطوّر.</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التخطيط والبنية:</w:t>
      </w:r>
      <w:r>
        <w:rPr>
          <w:rFonts w:ascii="Noto Sans Arabic" w:cs="Noto Sans Arabic" w:eastAsia="Noto Sans Arabic" w:hAnsi="Noto Sans Arabic"/>
          <w:rtl/>
          <w:lang w:val="ar-SA" w:bidi="ar-SA"/>
        </w:rPr>
        <w:t xml:space="preserve"> Section، Content، Content Tabs، Accordion / Accordion Group، Slider، Item List، Node List، Media List</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البطاقات والعناصر:</w:t>
      </w:r>
      <w:r>
        <w:rPr>
          <w:rFonts w:ascii="Noto Sans Arabic" w:cs="Noto Sans Arabic" w:eastAsia="Noto Sans Arabic" w:hAnsi="Noto Sans Arabic"/>
          <w:rtl/>
          <w:lang w:val="ar-SA" w:bidi="ar-SA"/>
        </w:rPr>
        <w:t xml:space="preserve"> Card، Item، Stat / Stats (متحركة)، Timeline / Timeline Item</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البيانات والتصوير المرئي:</w:t>
      </w:r>
      <w:r>
        <w:rPr>
          <w:rFonts w:ascii="Noto Sans Arabic" w:cs="Noto Sans Arabic" w:eastAsia="Noto Sans Arabic" w:hAnsi="Noto Sans Arabic"/>
          <w:rtl/>
          <w:lang w:val="ar-SA" w:bidi="ar-SA"/>
        </w:rPr>
        <w:t xml:space="preserve"> Charts (من CSV)، Datatable (جدول CSV قابل للبحث والفرز)، GeoChart، Map (بيانات GeoJSON على Leaflet)، Decision Flow</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الوسائط:</w:t>
      </w:r>
      <w:r>
        <w:rPr>
          <w:rFonts w:ascii="Noto Sans Arabic" w:cs="Noto Sans Arabic" w:eastAsia="Noto Sans Arabic" w:hAnsi="Noto Sans Arabic"/>
          <w:rtl/>
          <w:lang w:val="ar-SA" w:bidi="ar-SA"/>
        </w:rPr>
        <w:t xml:space="preserve"> Gallery، Lightbox، Diff (مقارنة الصور)، Animation (مدفوعة بالتمرير)، iFrame</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التضمينات:</w:t>
      </w:r>
      <w:r>
        <w:rPr>
          <w:rFonts w:ascii="Noto Sans Arabic" w:cs="Noto Sans Arabic" w:eastAsia="Noto Sans Arabic" w:hAnsi="Noto Sans Arabic"/>
          <w:rtl/>
          <w:lang w:val="ar-SA" w:bidi="ar-SA"/>
        </w:rPr>
        <w:t xml:space="preserve"> Embedded Block، Custom Block، View، Webform؛ Snippet (JavaScript)</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التخصيص والذكاء الاصطناعي:</w:t>
      </w:r>
      <w:r>
        <w:rPr>
          <w:rFonts w:ascii="Noto Sans Arabic" w:cs="Noto Sans Arabic" w:eastAsia="Noto Sans Arabic" w:hAnsi="Noto Sans Arabic"/>
          <w:rtl/>
          <w:lang w:val="ar-SA" w:bidi="ar-SA"/>
        </w:rPr>
        <w:t xml:space="preserve"> Personified Content، Personified Data، Parameter، Recombee Scenario، Recombee Search، Search Prompt</w:t>
      </w:r>
    </w:p>
    <w:p>
      <w:pPr>
        <w:bidi/>
        <w:spacing w:after="120" w:line="276"/>
        <w:jc w:val="start"/>
      </w:pPr>
      <w:r>
        <w:rPr>
          <w:rFonts w:ascii="Noto Sans Arabic" w:cs="Noto Sans Arabic" w:eastAsia="Noto Sans Arabic" w:hAnsi="Noto Sans Arabic"/>
          <w:b/>
          <w:bCs/>
          <w:rtl/>
          <w:lang w:val="ar-SA" w:bidi="ar-SA"/>
        </w:rPr>
        <w:t xml:space="preserve">الكتل:</w:t>
      </w:r>
      <w:r>
        <w:rPr>
          <w:rFonts w:ascii="Noto Sans Arabic" w:cs="Noto Sans Arabic" w:eastAsia="Noto Sans Arabic" w:hAnsi="Noto Sans Arabic"/>
          <w:rtl/>
          <w:lang w:val="ar-SA" w:bidi="ar-SA"/>
        </w:rPr>
        <w:t xml:space="preserve"> حاوية Components، Content، Disclaimer (نافذة منبثقة)، Logo، Modal، Personified Data، Promotion، Quick Exit، ReadSpeaker، Search، Social Share، Translate</w:t>
      </w:r>
    </w:p>
    <w:p>
      <w:pPr>
        <w:bidi/>
        <w:spacing w:after="120" w:line="276"/>
        <w:jc w:val="start"/>
      </w:pPr>
      <w:r>
        <w:rPr>
          <w:rFonts w:ascii="Noto Sans Arabic" w:cs="Noto Sans Arabic" w:eastAsia="Noto Sans Arabic" w:hAnsi="Noto Sans Arabic"/>
          <w:b/>
          <w:bCs/>
          <w:rtl/>
          <w:lang w:val="ar-SA" w:bidi="ar-SA"/>
        </w:rPr>
        <w:t xml:space="preserve">المعدّلات:</w:t>
      </w:r>
      <w:r>
        <w:rPr>
          <w:rFonts w:ascii="Noto Sans Arabic" w:cs="Noto Sans Arabic" w:eastAsia="Noto Sans Arabic" w:hAnsi="Noto Sans Arabic"/>
          <w:rtl/>
          <w:lang w:val="ar-SA" w:bidi="ar-SA"/>
        </w:rPr>
        <w:t xml:space="preserve"> الارتفاع التكيفي، ورؤية الجمهور، ولون الخلفية، وتبديل لوحة الألوان عند التمرير، والتدرجات الخطية والشعاعية، والإخفاء، وصورة الخلفية، والحشو، وخلفية المنظور، والإظهار عند التمرير، وفيديو الخلفية</w:t>
      </w:r>
    </w:p>
    <w:p>
      <w:pPr>
        <w:bidi/>
        <w:spacing w:after="120" w:line="276"/>
        <w:jc w:val="start"/>
      </w:pPr>
      <w:r>
        <w:rPr>
          <w:rFonts w:ascii="Noto Sans Arabic" w:cs="Noto Sans Arabic" w:eastAsia="Noto Sans Arabic" w:hAnsi="Noto Sans Arabic"/>
          <w:b/>
          <w:bCs/>
          <w:rtl/>
          <w:lang w:val="ar-SA" w:bidi="ar-SA"/>
        </w:rPr>
        <w:t xml:space="preserve">محرر WYSIWYG:</w:t>
      </w:r>
      <w:r>
        <w:rPr>
          <w:rFonts w:ascii="Noto Sans Arabic" w:cs="Noto Sans Arabic" w:eastAsia="Noto Sans Arabic" w:hAnsi="Noto Sans Arabic"/>
          <w:rtl/>
          <w:lang w:val="ar-SA" w:bidi="ar-SA"/>
        </w:rPr>
        <w:t xml:space="preserve"> فئات أدوات قياسية، وتضمين وسائط متجاوبة بعروض ومواضع وتعليقات، وأزرار توجيه تحوّل القوائم إلى مشغّلات محادثة سياقية (إصدار الذكاء الاصطناعي)</w:t>
      </w:r>
    </w:p>
    <w:p>
      <w:pPr>
        <w:pStyle w:val="Heading2"/>
        <w:bidi/>
        <w:jc w:val="start"/>
      </w:pPr>
      <w:r>
        <w:rPr>
          <w:rFonts w:ascii="Noto Sans Arabic" w:cs="Noto Sans Arabic" w:eastAsia="Noto Sans Arabic" w:hAnsi="Noto Sans Arabic"/>
          <w:rtl/>
          <w:lang w:val="ar-SA" w:bidi="ar-SA"/>
        </w:rPr>
        <w:t xml:space="preserve">الحوكمة التحريرية</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قوائم إدارية «يحتاج مراجعة» و«يحتاج وصفاً» و«يحتاج نصاً بديلاً» تحدد بدقة ما يستوجب الاهتمام</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تواريخ مراجعة للمحتوى؛ وتواريخ نشر وتحديث للبيانات الوصفية والفرز وتعزيز البحث</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تجمّع ملكية الوحدة التنظيمية المحتوى بحيث يتمكن المحررون المسؤولون من إيجاد ما يحتاج تحديثاً</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استيراد جماعي لعمليات إعادة التوجيه؛ وصفحة مستخدم مخصصة بروابط تحريرية</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نموذج ملاحظات مدمج في كل صفحة؛ ومنطقة موحدة للمحتوى ذي الصلة</w:t>
      </w:r>
    </w:p>
    <w:p>
      <w:pPr>
        <w:pStyle w:val="Heading2"/>
        <w:bidi/>
        <w:jc w:val="start"/>
      </w:pPr>
      <w:r>
        <w:rPr>
          <w:rFonts w:ascii="Noto Sans Arabic" w:cs="Noto Sans Arabic" w:eastAsia="Noto Sans Arabic" w:hAnsi="Noto Sans Arabic"/>
          <w:rtl/>
          <w:lang w:val="ar-SA" w:bidi="ar-SA"/>
        </w:rPr>
        <w:t xml:space="preserve">البحث وتحسين محركات البحث (SEO) وتحسين المحركات التوليدية (GEO)</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بحث نصي كامل بـ Apache Solr مع تصفية بالأوجه (النوع، الموضوع، الجمهور، التاريخ)، وإكمال تلقائي، وفهرسة الملفات الثنائية</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تعزيز حسب التاريخ ونوع المحتوى لإبراز المحتوى الأكثر صلة وحداثة</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بيانات وصفية قياسية ومتقدمة تُملأ تلقائياً لمحركات البحث وروبوتات الذكاء الاصطناعي؛ وخريطة موقع XML مفعّلة افتراضياً</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Schema.org JSON-LD للخصائص والعلاقات، بالإضافة إلى مخطط FAQ Page للأكورديون — محتوى منظم لمحركات البحث ومحركات الإجابة بالذكاء الاصطناعي على حد سواء</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استهداف درجة 100 في Lighthouse لتحسين محركات البحث في كل صفحة</w:t>
      </w:r>
    </w:p>
    <w:p>
      <w:pPr>
        <w:pStyle w:val="Heading2"/>
        <w:bidi/>
        <w:jc w:val="start"/>
      </w:pPr>
      <w:r>
        <w:rPr>
          <w:rFonts w:ascii="Noto Sans Arabic" w:cs="Noto Sans Arabic" w:eastAsia="Noto Sans Arabic" w:hAnsi="Noto Sans Arabic"/>
          <w:rtl/>
          <w:lang w:val="ar-SA" w:bidi="ar-SA"/>
        </w:rPr>
        <w:t xml:space="preserve">التخصيص والتوصيات (DXP)</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Convivial Profiler</w:t>
      </w:r>
      <w:r>
        <w:rPr>
          <w:rFonts w:ascii="Noto Sans Arabic" w:cs="Noto Sans Arabic" w:eastAsia="Noto Sans Arabic" w:hAnsi="Noto Sans Arabic"/>
          <w:rtl/>
          <w:lang w:val="ar-SA" w:bidi="ar-SA"/>
        </w:rPr>
        <w:t xml:space="preserve"> — محرك تخصيص خفيف يعمل في جهة العميل، يبني ملفاً سلوكياً من الصفحات المعروضة والموضوعات ونوع الجمهور والأهداف والنوايا والمرحلة، ويستخدمه لتوجيه العروض الترويجية والتوصيات والمحتوى المصفّى</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تصفية الجمهور</w:t>
      </w:r>
      <w:r>
        <w:rPr>
          <w:rFonts w:ascii="Noto Sans Arabic" w:cs="Noto Sans Arabic" w:eastAsia="Noto Sans Arabic" w:hAnsi="Noto Sans Arabic"/>
          <w:rtl/>
          <w:lang w:val="ar-SA" w:bidi="ar-SA"/>
        </w:rPr>
        <w:t xml:space="preserve"> — قائمة اختيار بسيطة تتيح للزوار تحديد جمهورهم؛ ويعيّن المحررون الجماهير للمحتوى ويستهدفون الكتل الترويجية دون مساعدة مطوّر</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Recombee</w:t>
      </w:r>
      <w:r>
        <w:rPr>
          <w:rFonts w:ascii="Noto Sans Arabic" w:cs="Noto Sans Arabic" w:eastAsia="Noto Sans Arabic" w:hAnsi="Noto Sans Arabic"/>
          <w:rtl/>
          <w:lang w:val="ar-SA" w:bidi="ar-SA"/>
        </w:rPr>
        <w:t xml:space="preserve"> — تكامل اختياري لخدمة التوصيات كخدمة يطبّق التصفية التعاونية لإبراز المحتوى ذي الصلة والشائع والرائج في أقسام محددة من الموقع</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تستخدم صفحات الحملات والمواقع المصغّرة التنميط نفسه لتكييف المحتوى لكل زائر، مع هوية بصرية مميزة عبر الأغلفة ولوحات الألوان</w:t>
      </w:r>
    </w:p>
    <w:p>
      <w:pPr>
        <w:pStyle w:val="Heading2"/>
        <w:bidi/>
        <w:jc w:val="start"/>
      </w:pPr>
      <w:r>
        <w:rPr>
          <w:rFonts w:ascii="Noto Sans Arabic" w:cs="Noto Sans Arabic" w:eastAsia="Noto Sans Arabic" w:hAnsi="Noto Sans Arabic"/>
          <w:rtl/>
          <w:lang w:val="ar-SA" w:bidi="ar-SA"/>
        </w:rPr>
        <w:t xml:space="preserve">التعزيز بالذكاء الاصطناعي (إصدار الذكاء الاصطناعي — نسخة تجريبية)</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دعم الواجهات الخلفية والميزات القياسية لـ Drupal AI</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أدوات </w:t>
      </w:r>
      <w:r>
        <w:rPr>
          <w:rFonts w:ascii="Noto Sans Arabic" w:cs="Noto Sans Arabic" w:eastAsia="Noto Sans Arabic" w:hAnsi="Noto Sans Arabic"/>
          <w:b/>
          <w:bCs/>
          <w:rtl/>
          <w:lang w:val="ar-SA" w:bidi="ar-SA"/>
        </w:rPr>
        <w:t xml:space="preserve">Augmentor</w:t>
      </w:r>
      <w:r>
        <w:rPr>
          <w:rFonts w:ascii="Noto Sans Arabic" w:cs="Noto Sans Arabic" w:eastAsia="Noto Sans Arabic" w:hAnsi="Noto Sans Arabic"/>
          <w:rtl/>
          <w:lang w:val="ar-SA" w:bidi="ar-SA"/>
        </w:rPr>
        <w:t xml:space="preserve"> في نموذج التحرير: صياغة المقالات، وإنشاء الملخصات والمقدمات والعناوين، واستخراج الكلمات المفتاحية، وإنشاء النص البديل للصور (يتصل بخدمات مثل ChatGPT وNLP Cloud وGoogle Cloud Vision)</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البحث الدلالي</w:t>
      </w:r>
      <w:r>
        <w:rPr>
          <w:rFonts w:ascii="Noto Sans Arabic" w:cs="Noto Sans Arabic" w:eastAsia="Noto Sans Arabic" w:hAnsi="Noto Sans Arabic"/>
          <w:rtl/>
          <w:lang w:val="ar-SA" w:bidi="ar-SA"/>
        </w:rPr>
        <w:t xml:space="preserve"> — بحث حواري قائم على RAG بواجهة محادثة مدمجة في القالب، مع تصويت بالإعجاب/عدم الإعجاب، وأسئلة متابعة، وأزرار توجيه سياقية ضمن المحتوى</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وحدة </w:t>
      </w:r>
      <w:r>
        <w:rPr>
          <w:rFonts w:ascii="Noto Sans Arabic" w:cs="Noto Sans Arabic" w:eastAsia="Noto Sans Arabic" w:hAnsi="Noto Sans Arabic"/>
          <w:b/>
          <w:bCs/>
          <w:rtl/>
          <w:lang w:val="ar-SA" w:bidi="ar-SA"/>
        </w:rPr>
        <w:t xml:space="preserve">Guardrails</w:t>
      </w:r>
      <w:r>
        <w:rPr>
          <w:rFonts w:ascii="Noto Sans Arabic" w:cs="Noto Sans Arabic" w:eastAsia="Noto Sans Arabic" w:hAnsi="Noto Sans Arabic"/>
          <w:rtl/>
          <w:lang w:val="ar-SA" w:bidi="ar-SA"/>
        </w:rPr>
        <w:t xml:space="preserve"> تمنع مشاركة المعلومات الشخصية والحساسة مع نموذج اللغة الكبير</w:t>
      </w:r>
    </w:p>
    <w:p>
      <w:pPr>
        <w:pStyle w:val="Heading2"/>
        <w:bidi/>
        <w:jc w:val="start"/>
      </w:pPr>
      <w:r>
        <w:rPr>
          <w:rFonts w:ascii="Noto Sans Arabic" w:cs="Noto Sans Arabic" w:eastAsia="Noto Sans Arabic" w:hAnsi="Noto Sans Arabic"/>
          <w:rtl/>
          <w:lang w:val="ar-SA" w:bidi="ar-SA"/>
        </w:rPr>
        <w:t xml:space="preserve">الأداء</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صور متجاوبة تُقدَّم بالدقة المناسبة لكل جهاز</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التخزين المؤقت القياسي لصفحات Drupal مع الإبطال القائم على الوسوم</w:t>
      </w:r>
    </w:p>
    <w:p>
      <w:pPr>
        <w:pStyle w:val="ListParagraph"/>
        <w:numPr>
          <w:ilvl w:val="0"/>
          <w:numId w:val="2"/>
        </w:numPr>
        <w:bidi/>
        <w:spacing w:after="60" w:line="276"/>
        <w:jc w:val="start"/>
      </w:pPr>
      <w:r>
        <w:rPr>
          <w:rFonts w:ascii="Noto Sans Arabic" w:cs="Noto Sans Arabic" w:eastAsia="Noto Sans Arabic" w:hAnsi="Noto Sans Arabic"/>
          <w:rtl/>
          <w:lang w:val="ar-SA" w:bidi="ar-SA"/>
        </w:rPr>
        <w:t xml:space="preserve">تحميل محسّن للمكتبات والموارد</w:t>
      </w:r>
    </w:p>
    <w:p>
      <w:pPr>
        <w:pBdr>
          <w:bottom w:val="single" w:color="BBBBBB" w:sz="6" w:space="1"/>
        </w:pBdr>
        <w:spacing w:after="240" w:before="120"/>
      </w:pPr>
    </w:p>
    <w:p>
      <w:pPr>
        <w:pStyle w:val="Heading1"/>
        <w:bidi/>
        <w:jc w:val="start"/>
      </w:pPr>
      <w:r>
        <w:rPr>
          <w:rFonts w:ascii="Noto Sans Arabic" w:cs="Noto Sans Arabic" w:eastAsia="Noto Sans Arabic" w:hAnsi="Noto Sans Arabic"/>
          <w:rtl/>
          <w:lang w:val="ar-SA" w:bidi="ar-SA"/>
        </w:rPr>
        <w:t xml:space="preserve">لمن صُمم</w:t>
      </w:r>
    </w:p>
    <w:p>
      <w:pPr>
        <w:bidi/>
        <w:spacing w:after="120" w:line="276"/>
        <w:jc w:val="start"/>
      </w:pPr>
      <w:r>
        <w:rPr>
          <w:rFonts w:ascii="Noto Sans Arabic" w:cs="Noto Sans Arabic" w:eastAsia="Noto Sans Arabic" w:hAnsi="Noto Sans Arabic"/>
          <w:b/>
          <w:bCs/>
          <w:rtl/>
          <w:lang w:val="ar-SA" w:bidi="ar-SA"/>
        </w:rPr>
        <w:t xml:space="preserve">المحررون</w:t>
      </w:r>
      <w:r>
        <w:rPr>
          <w:rFonts w:ascii="Noto Sans Arabic" w:cs="Noto Sans Arabic" w:eastAsia="Noto Sans Arabic" w:hAnsi="Noto Sans Arabic"/>
          <w:rtl/>
          <w:lang w:val="ar-SA" w:bidi="ar-SA"/>
        </w:rPr>
        <w:t xml:space="preserve"> — بناء الصفحات وصياغة المحتوى وإدارة سهولة الوصول دون مطوّر أو مراجعات يدوية للنص البديل: أنواع محتوى ومكوّنات وأوضاع عرض جاهزة، وأدوات صياغة بالذكاء الاصطناعي، ولوحات تحكم تحريرية.</w:t>
      </w:r>
    </w:p>
    <w:p>
      <w:pPr>
        <w:bidi/>
        <w:spacing w:after="120" w:line="276"/>
        <w:jc w:val="start"/>
      </w:pPr>
      <w:r>
        <w:rPr>
          <w:rFonts w:ascii="Noto Sans Arabic" w:cs="Noto Sans Arabic" w:eastAsia="Noto Sans Arabic" w:hAnsi="Noto Sans Arabic"/>
          <w:b/>
          <w:bCs/>
          <w:rtl/>
          <w:lang w:val="ar-SA" w:bidi="ar-SA"/>
        </w:rPr>
        <w:t xml:space="preserve">المسوّقون</w:t>
      </w:r>
      <w:r>
        <w:rPr>
          <w:rFonts w:ascii="Noto Sans Arabic" w:cs="Noto Sans Arabic" w:eastAsia="Noto Sans Arabic" w:hAnsi="Noto Sans Arabic"/>
          <w:rtl/>
          <w:lang w:val="ar-SA" w:bidi="ar-SA"/>
        </w:rPr>
        <w:t xml:space="preserve"> — التخصيص وإطلاق الحملات والقياس دون انتظار المطوّرين: صفحات حملات دون برمجة، وتخصيص تلقائي عبر Convivial Profiler، ومحتوى مبني ليُعثر عليه في محركات البحث ومحركات الإجابة بالذكاء الاصطناعي.</w:t>
      </w:r>
    </w:p>
    <w:p>
      <w:pPr>
        <w:bidi/>
        <w:spacing w:after="120" w:line="276"/>
        <w:jc w:val="start"/>
      </w:pPr>
      <w:r>
        <w:rPr>
          <w:rFonts w:ascii="Noto Sans Arabic" w:cs="Noto Sans Arabic" w:eastAsia="Noto Sans Arabic" w:hAnsi="Noto Sans Arabic"/>
          <w:b/>
          <w:bCs/>
          <w:rtl/>
          <w:lang w:val="ar-SA" w:bidi="ar-SA"/>
        </w:rPr>
        <w:t xml:space="preserve">مالكو المواقع</w:t>
      </w:r>
      <w:r>
        <w:rPr>
          <w:rFonts w:ascii="Noto Sans Arabic" w:cs="Noto Sans Arabic" w:eastAsia="Noto Sans Arabic" w:hAnsi="Noto Sans Arabic"/>
          <w:rtl/>
          <w:lang w:val="ar-SA" w:bidi="ar-SA"/>
        </w:rPr>
        <w:t xml:space="preserve"> — تقليل التكلفة والمخاطر وعبء الحوكمة: مسار شراء عبر اللوحة المعتمدة، وسهولة الوصول والامتثال مدمجان منذ اليوم الأول، وبحث وأداء بمستوى المؤسسات، وأدوات حوكمة للفرق الكبيرة الموزعة.</w:t>
      </w:r>
    </w:p>
    <w:p>
      <w:pPr>
        <w:pBdr>
          <w:bottom w:val="single" w:color="BBBBBB" w:sz="6" w:space="1"/>
        </w:pBdr>
        <w:spacing w:after="240" w:before="120"/>
      </w:pPr>
    </w:p>
    <w:p>
      <w:pPr>
        <w:pStyle w:val="Heading1"/>
        <w:bidi/>
        <w:jc w:val="start"/>
      </w:pPr>
      <w:r>
        <w:rPr>
          <w:rFonts w:ascii="Noto Sans Arabic" w:cs="Noto Sans Arabic" w:eastAsia="Noto Sans Arabic" w:hAnsi="Noto Sans Arabic"/>
          <w:rtl/>
          <w:lang w:val="ar-SA" w:bidi="ar-SA"/>
        </w:rPr>
        <w:t xml:space="preserve">الشراء والخدمات</w:t>
      </w:r>
    </w:p>
    <w:p>
      <w:pPr>
        <w:bidi/>
        <w:spacing w:after="120" w:line="276"/>
        <w:jc w:val="start"/>
      </w:pPr>
      <w:r>
        <w:rPr>
          <w:rFonts w:ascii="Noto Sans Arabic" w:cs="Noto Sans Arabic" w:eastAsia="Noto Sans Arabic" w:hAnsi="Noto Sans Arabic"/>
          <w:rtl/>
          <w:lang w:val="ar-SA" w:bidi="ar-SA"/>
        </w:rPr>
        <w:t xml:space="preserve">تقدّم Morpht منتج Convivial for GovCMS بصفتها مورّداً معتمداً في GovCMS Drupal Services Panel (DSP). يمكن للجهات الفدرالية وجهات الولايات المؤهلة شراء خدمات التنفيذ والإعداد والدعم مباشرة عبر اللوحة. وتشمل خدمات DXP المستمرة المتاحة ضمن الترتيب نفسه تخصيص المحتوى، والتوصيات كخدمة، وتعزيز المحتوى بالذكاء الاصطناعي، إلى جانب دعم تجربة المستخدم والتصميم والمحتوى والتطوير.</w:t>
      </w:r>
    </w:p>
    <w:p>
      <w:pPr>
        <w:bidi/>
        <w:spacing w:after="120" w:line="276"/>
        <w:jc w:val="start"/>
      </w:pPr>
      <w:r>
        <w:rPr>
          <w:rFonts w:ascii="Noto Sans Arabic" w:cs="Noto Sans Arabic" w:eastAsia="Noto Sans Arabic" w:hAnsi="Noto Sans Arabic"/>
          <w:b/>
          <w:bCs/>
          <w:rtl/>
          <w:lang w:val="ar-SA" w:bidi="ar-SA"/>
        </w:rPr>
        <w:t xml:space="preserve">ابنِ موقعاً في يوم واحد:</w:t>
      </w:r>
      <w:r>
        <w:rPr>
          <w:rFonts w:ascii="Noto Sans Arabic" w:cs="Noto Sans Arabic" w:eastAsia="Noto Sans Arabic" w:hAnsi="Noto Sans Arabic"/>
          <w:rtl/>
          <w:lang w:val="ar-SA" w:bidi="ar-SA"/>
        </w:rPr>
        <w:t xml:space="preserve"> يمكن للجهات استكشاف Convivial بالعمل مع Morpht على موقع تجريبي باستخدام الميزات الجاهزة.</w:t>
      </w:r>
    </w:p>
    <w:p>
      <w:pPr>
        <w:pBdr>
          <w:bottom w:val="single" w:color="BBBBBB" w:sz="6" w:space="1"/>
        </w:pBdr>
        <w:spacing w:after="240" w:before="120"/>
      </w:pPr>
    </w:p>
    <w:p>
      <w:pPr>
        <w:pStyle w:val="Heading1"/>
        <w:bidi/>
        <w:jc w:val="start"/>
      </w:pPr>
      <w:r>
        <w:rPr>
          <w:rFonts w:ascii="Noto Sans Arabic" w:cs="Noto Sans Arabic" w:eastAsia="Noto Sans Arabic" w:hAnsi="Noto Sans Arabic"/>
          <w:rtl/>
          <w:lang w:val="ar-SA" w:bidi="ar-SA"/>
        </w:rPr>
        <w:t xml:space="preserve">سجل الإنجازات</w:t>
      </w:r>
    </w:p>
    <w:p>
      <w:pPr>
        <w:bidi/>
        <w:spacing w:after="120" w:line="276"/>
        <w:jc w:val="start"/>
      </w:pPr>
      <w:r>
        <w:rPr>
          <w:rFonts w:ascii="Noto Sans Arabic" w:cs="Noto Sans Arabic" w:eastAsia="Noto Sans Arabic" w:hAnsi="Noto Sans Arabic"/>
          <w:rtl/>
          <w:lang w:val="ar-SA" w:bidi="ar-SA"/>
        </w:rPr>
        <w:t xml:space="preserve">من المواقع المبنية بـ Convivial for GovCMS:</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National Office of Child Safety</w:t>
      </w:r>
      <w:r>
        <w:rPr>
          <w:rFonts w:ascii="Noto Sans Arabic" w:cs="Noto Sans Arabic" w:eastAsia="Noto Sans Arabic" w:hAnsi="Noto Sans Arabic"/>
          <w:rtl/>
          <w:lang w:val="ar-SA" w:bidi="ar-SA"/>
        </w:rPr>
        <w:t xml:space="preserve"> — تحديث للتصميم وهندسة المعلومات أُنجز خلال ثلاثة أسابيع. جائزة Splash Awards 2024 لأفضل عرض (الحكومة الفدرالية)؛ ومرشح نهائي في Australian Access Awards 2025</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Medical Device Single Audit Program</w:t>
      </w:r>
      <w:r>
        <w:rPr>
          <w:rFonts w:ascii="Noto Sans Arabic" w:cs="Noto Sans Arabic" w:eastAsia="Noto Sans Arabic" w:hAnsi="Noto Sans Arabic"/>
          <w:rtl/>
          <w:lang w:val="ar-SA" w:bidi="ar-SA"/>
        </w:rPr>
        <w:t xml:space="preserve"> — هوية علامة تجارية عالمية ومكتبة وثائق قابلة للبحث. الفائز بجائزة Splash Awards 2026 (التصميم/تجربة المستخدم)</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Reef Knowledge System (GBRMPA)</w:t>
      </w:r>
      <w:r>
        <w:rPr>
          <w:rFonts w:ascii="Noto Sans Arabic" w:cs="Noto Sans Arabic" w:eastAsia="Noto Sans Arabic" w:hAnsi="Noto Sans Arabic"/>
          <w:rtl/>
          <w:lang w:val="ar-SA" w:bidi="ar-SA"/>
        </w:rPr>
        <w:t xml:space="preserve"> — تنقل قائم على الموضوعات وتوصيات مخصصة. وصيف Splash Awards 2026</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Reef Guardian Schools (GBRMPA)</w:t>
      </w:r>
      <w:r>
        <w:rPr>
          <w:rFonts w:ascii="Noto Sans Arabic" w:cs="Noto Sans Arabic" w:eastAsia="Noto Sans Arabic" w:hAnsi="Noto Sans Arabic"/>
          <w:rtl/>
          <w:lang w:val="ar-SA" w:bidi="ar-SA"/>
        </w:rPr>
        <w:t xml:space="preserve"> — إعادة بناء آمنة على SaaS مع مكتبة موارد منتقاة. وصيف Splash Awards 2026 (الأثر المجتمعي)</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Attorney-General's Department</w:t>
      </w:r>
      <w:r>
        <w:rPr>
          <w:rFonts w:ascii="Noto Sans Arabic" w:cs="Noto Sans Arabic" w:eastAsia="Noto Sans Arabic" w:hAnsi="Noto Sans Arabic"/>
          <w:rtl/>
          <w:lang w:val="ar-SA" w:bidi="ar-SA"/>
        </w:rPr>
        <w:t xml:space="preserve"> — دمج أكثر من 1,200 صفحة و6,000 منشور عبر خمسة مواقع في تسعة أقسام قابلة للبحث</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Independent Parliamentary Expenses Authority</w:t>
      </w:r>
      <w:r>
        <w:rPr>
          <w:rFonts w:ascii="Noto Sans Arabic" w:cs="Noto Sans Arabic" w:eastAsia="Noto Sans Arabic" w:hAnsi="Noto Sans Arabic"/>
          <w:rtl/>
          <w:lang w:val="ar-SA" w:bidi="ar-SA"/>
        </w:rPr>
        <w:t xml:space="preserve"> — إدارة ذاتية لأكثر من 30,000 سجل إنفاق مع بحث أسرع</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Therapeutic Goods Administration</w:t>
      </w:r>
      <w:r>
        <w:rPr>
          <w:rFonts w:ascii="Noto Sans Arabic" w:cs="Noto Sans Arabic" w:eastAsia="Noto Sans Arabic" w:hAnsi="Noto Sans Arabic"/>
          <w:rtl/>
          <w:lang w:val="ar-SA" w:bidi="ar-SA"/>
        </w:rPr>
        <w:t xml:space="preserve"> — دمج 71 نوع محتوى في 49 نوعاً على موقع يزوره 5.5 مليون زائر شهرياً</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NSW Food Authority</w:t>
      </w:r>
      <w:r>
        <w:rPr>
          <w:rFonts w:ascii="Noto Sans Arabic" w:cs="Noto Sans Arabic" w:eastAsia="Noto Sans Arabic" w:hAnsi="Noto Sans Arabic"/>
          <w:rtl/>
          <w:lang w:val="ar-SA" w:bidi="ar-SA"/>
        </w:rPr>
        <w:t xml:space="preserve"> — ترحيل إلى GovCMS رفع الزيارات بنسبة 9.7% ووقت البقاء في الصفحة بنسبة 44%</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Australian Immunisation Handbook Calculator</w:t>
      </w:r>
      <w:r>
        <w:rPr>
          <w:rFonts w:ascii="Noto Sans Arabic" w:cs="Noto Sans Arabic" w:eastAsia="Noto Sans Arabic" w:hAnsi="Noto Sans Arabic"/>
          <w:rtl/>
          <w:lang w:val="ar-SA" w:bidi="ar-SA"/>
        </w:rPr>
        <w:t xml:space="preserve"> — جداول تطعيم مخصصة مستمدة من قواعد سريرية معقدة</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Australian Financial Security Authority / PPSR</w:t>
      </w:r>
      <w:r>
        <w:rPr>
          <w:rFonts w:ascii="Noto Sans Arabic" w:cs="Noto Sans Arabic" w:eastAsia="Noto Sans Arabic" w:hAnsi="Noto Sans Arabic"/>
          <w:rtl/>
          <w:lang w:val="ar-SA" w:bidi="ar-SA"/>
        </w:rPr>
        <w:t xml:space="preserve"> — تحديث للتوافق مع WCAG 2.1 AA؛ جائزتا الابتكار والتواصل مع المجتمع في GovCMS Community Awards 2025</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Defence and Veterans' Service Commission</w:t>
      </w:r>
      <w:r>
        <w:rPr>
          <w:rFonts w:ascii="Noto Sans Arabic" w:cs="Noto Sans Arabic" w:eastAsia="Noto Sans Arabic" w:hAnsi="Noto Sans Arabic"/>
          <w:rtl/>
          <w:lang w:val="ar-SA" w:bidi="ar-SA"/>
        </w:rPr>
        <w:t xml:space="preserve"> — موقع حكومي متوافق بُني خلال ستة أسابيع</w:t>
      </w:r>
    </w:p>
    <w:p>
      <w:pPr>
        <w:pStyle w:val="ListParagraph"/>
        <w:numPr>
          <w:ilvl w:val="0"/>
          <w:numId w:val="2"/>
        </w:numPr>
        <w:bidi/>
        <w:spacing w:after="60" w:line="276"/>
        <w:jc w:val="start"/>
      </w:pPr>
      <w:r>
        <w:rPr>
          <w:rFonts w:ascii="Noto Sans Arabic" w:cs="Noto Sans Arabic" w:eastAsia="Noto Sans Arabic" w:hAnsi="Noto Sans Arabic"/>
          <w:b/>
          <w:bCs/>
          <w:rtl/>
          <w:lang w:val="ar-SA" w:bidi="ar-SA"/>
        </w:rPr>
        <w:t xml:space="preserve">Redfern Legal Centre</w:t>
      </w:r>
      <w:r>
        <w:rPr>
          <w:rFonts w:ascii="Noto Sans Arabic" w:cs="Noto Sans Arabic" w:eastAsia="Noto Sans Arabic" w:hAnsi="Noto Sans Arabic"/>
          <w:rtl/>
          <w:lang w:val="ar-SA" w:bidi="ar-SA"/>
        </w:rPr>
        <w:t xml:space="preserve"> — إعادة بناء تطوعية لتحسين سهولة الوصول وقابلية الاكتشاف</w:t>
      </w:r>
    </w:p>
    <w:p>
      <w:pPr>
        <w:pBdr>
          <w:bottom w:val="single" w:color="BBBBBB" w:sz="6" w:space="1"/>
        </w:pBdr>
        <w:spacing w:after="240" w:before="120"/>
      </w:pPr>
    </w:p>
    <w:p>
      <w:pPr>
        <w:pStyle w:val="Heading1"/>
        <w:bidi/>
        <w:jc w:val="start"/>
      </w:pPr>
      <w:r>
        <w:rPr>
          <w:rFonts w:ascii="Noto Sans Arabic" w:cs="Noto Sans Arabic" w:eastAsia="Noto Sans Arabic" w:hAnsi="Noto Sans Arabic"/>
          <w:rtl/>
          <w:lang w:val="ar-SA" w:bidi="ar-SA"/>
        </w:rPr>
        <w:t xml:space="preserve">نبذة عن Morpht</w:t>
      </w:r>
    </w:p>
    <w:p>
      <w:pPr>
        <w:bidi/>
        <w:spacing w:after="120" w:line="276"/>
        <w:jc w:val="start"/>
      </w:pPr>
      <w:r>
        <w:rPr>
          <w:rFonts w:ascii="Noto Sans Arabic" w:cs="Noto Sans Arabic" w:eastAsia="Noto Sans Arabic" w:hAnsi="Noto Sans Arabic"/>
          <w:rtl/>
          <w:lang w:val="ar-SA" w:bidi="ar-SA"/>
        </w:rPr>
        <w:t xml:space="preserve">Morpht وكالة تطوير Drupal متخصصة في تجربة المستخدم وGovCMS والتخصيص وتكاملات الذكاء الاصطناعي. بصفتها عضواً قديماً في مجتمع GovCMS ومورّداً رائداً في Drupal Services Panel، بنت Morpht وصانت مواقع لجهات مثل AGD وDOH وDOF وTGA والعديد من الجهات الأخرى.</w:t>
      </w:r>
    </w:p>
    <w:p>
      <w:pPr>
        <w:bidi/>
        <w:spacing w:after="120" w:line="276"/>
        <w:jc w:val="start"/>
      </w:pPr>
      <w:r>
        <w:rPr>
          <w:rFonts w:ascii="Noto Sans Arabic" w:cs="Noto Sans Arabic" w:eastAsia="Noto Sans Arabic" w:hAnsi="Noto Sans Arabic"/>
          <w:b/>
          <w:bCs/>
          <w:rtl/>
          <w:lang w:val="ar-SA" w:bidi="ar-SA"/>
        </w:rPr>
        <w:t xml:space="preserve">للتواصل:</w:t>
      </w:r>
      <w:r>
        <w:rPr>
          <w:rFonts w:ascii="Noto Sans Arabic" w:cs="Noto Sans Arabic" w:eastAsia="Noto Sans Arabic" w:hAnsi="Noto Sans Arabic"/>
          <w:rtl/>
          <w:lang w:val="ar-SA" w:bidi="ar-SA"/>
        </w:rPr>
        <w:t xml:space="preserve"> </w:t>
      </w:r>
      <w:hyperlink w:history="1" r:id="rIdjxdxx3yimyimnputr-fwm">
        <w:r>
          <w:rPr>
            <w:rStyle w:val="Hyperlink"/>
            <w:rFonts w:ascii="Noto Sans Arabic" w:cs="Noto Sans Arabic" w:eastAsia="Noto Sans Arabic" w:hAnsi="Noto Sans Arabic"/>
            <w:rtl/>
          </w:rPr>
          <w:t xml:space="preserve">https://www.morpht.com</w:t>
        </w:r>
      </w:hyperlink>
      <w:r>
        <w:rPr>
          <w:rFonts w:ascii="Noto Sans Arabic" w:cs="Noto Sans Arabic" w:eastAsia="Noto Sans Arabic" w:hAnsi="Noto Sans Arabic"/>
          <w:rtl/>
          <w:lang w:val="ar-SA" w:bidi="ar-SA"/>
        </w:rPr>
        <w:t xml:space="preserve"> · </w:t>
      </w:r>
      <w:hyperlink w:history="1" r:id="rIdpbx6msbf8t11h-3k5maca">
        <w:r>
          <w:rPr>
            <w:rStyle w:val="Hyperlink"/>
            <w:rFonts w:ascii="Noto Sans Arabic" w:cs="Noto Sans Arabic" w:eastAsia="Noto Sans Arabic" w:hAnsi="Noto Sans Arabic"/>
            <w:rtl/>
          </w:rPr>
          <w:t xml:space="preserve">https://govcms.convivial.io/contact</w:t>
        </w:r>
      </w:hyperlink>
    </w:p>
    <w:p>
      <w:pPr>
        <w:bidi/>
        <w:spacing w:after="120" w:line="276"/>
        <w:jc w:val="start"/>
      </w:pPr>
      <w:r>
        <w:rPr>
          <w:rFonts w:ascii="Noto Sans Arabic" w:cs="Noto Sans Arabic" w:eastAsia="Noto Sans Arabic" w:hAnsi="Noto Sans Arabic"/>
          <w:i/>
          <w:iCs/>
          <w:rtl/>
          <w:lang w:val="ar-SA" w:bidi="ar-SA"/>
        </w:rPr>
        <w:t xml:space="preserve">Convivial for GovCMS من إنتاج Morpht، مزوّد خدمات GovCMS Drupal، وليس تابعاً لمشروع GovCMS.</w:t>
      </w:r>
    </w:p>
    <w:sectPr>
      <w:pgSz w:w="11906" w:h="16838" w:orient="portrait"/>
      <w:pgMar w:top="1134" w:right="1134" w:bottom="1134" w:left="1134" w:header="708" w:footer="708" w:gutter="0"/>
      <w:pgNumType/>
      <w:bidi/>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oto Sans Arabic" w:cs="Noto Sans Arabic" w:eastAsia="Noto Sans Arabic" w:hAnsi="Noto Sans Arabic"/>
        <w:sz w:val="20"/>
        <w:szCs w:val="20"/>
        <w:rtl/>
        <w:lang w:val="ar-SA" w:bidi="ar-SA"/>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200"/>
    </w:pPr>
    <w:rPr>
      <w:rFonts w:ascii="Noto Sans Arabic" w:cs="Noto Sans Arabic" w:eastAsia="Noto Sans Arabic" w:hAnsi="Noto Sans Arabic"/>
      <w:b/>
      <w:bCs/>
      <w:color w:val="1F4E79"/>
      <w:sz w:val="44"/>
      <w:szCs w:val="44"/>
    </w:rPr>
  </w:style>
  <w:style w:type="paragraph" w:styleId="Heading1">
    <w:name w:val="Heading 1"/>
    <w:basedOn w:val="Normal"/>
    <w:next w:val="Normal"/>
    <w:qFormat/>
    <w:pPr>
      <w:spacing w:after="140" w:before="320"/>
      <w:outlineLvl w:val="0"/>
    </w:pPr>
    <w:rPr>
      <w:rFonts w:ascii="Noto Sans Arabic" w:cs="Noto Sans Arabic" w:eastAsia="Noto Sans Arabic" w:hAnsi="Noto Sans Arabic"/>
      <w:b/>
      <w:bCs/>
      <w:color w:val="1F4E79"/>
      <w:sz w:val="30"/>
      <w:szCs w:val="30"/>
    </w:rPr>
  </w:style>
  <w:style w:type="paragraph" w:styleId="Heading2">
    <w:name w:val="Heading 2"/>
    <w:basedOn w:val="Normal"/>
    <w:next w:val="Normal"/>
    <w:qFormat/>
    <w:pPr>
      <w:spacing w:after="100" w:before="220"/>
      <w:outlineLvl w:val="1"/>
    </w:pPr>
    <w:rPr>
      <w:rFonts w:ascii="Noto Sans Arabic" w:cs="Noto Sans Arabic" w:eastAsia="Noto Sans Arabic" w:hAnsi="Noto Sans Arabic"/>
      <w:b/>
      <w:bCs/>
      <w:color w:val="333333"/>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duwwiksqjs5gyjkf4zfr" Type="http://schemas.openxmlformats.org/officeDocument/2006/relationships/hyperlink" Target="https://govcms.convivial.io" TargetMode="External"/><Relationship Id="rIdjxdxx3yimyimnputr-fwm" Type="http://schemas.openxmlformats.org/officeDocument/2006/relationships/hyperlink" Target="https://www.morpht.com" TargetMode="External"/><Relationship Id="rIdpbx6msbf8t11h-3k5maca" Type="http://schemas.openxmlformats.org/officeDocument/2006/relationships/hyperlink" Target="https://govcms.convivial.io/contact"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Convivial for GovCMS — Factsheet</dc:title>
  <dc:creator>Morpht</dc:creator>
  <cp:lastModifiedBy>Un-named</cp:lastModifiedBy>
  <cp:revision>1</cp:revision>
  <dcterms:created xsi:type="dcterms:W3CDTF">2026-09-03T23:22:17.919Z</dcterms:created>
  <dcterms:modified xsi:type="dcterms:W3CDTF">2026-09-03T23:22:17.919Z</dcterms:modified>
</cp:coreProperties>
</file>

<file path=docProps/custom.xml><?xml version="1.0" encoding="utf-8"?>
<Properties xmlns="http://schemas.openxmlformats.org/officeDocument/2006/custom-properties" xmlns:vt="http://schemas.openxmlformats.org/officeDocument/2006/docPropsVTypes"/>
</file>